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4853" w14:textId="35D584A1" w:rsidR="0044452F" w:rsidRPr="007A1620" w:rsidRDefault="007A1620" w:rsidP="00F51005">
      <w:pPr>
        <w:pStyle w:val="BodyText"/>
        <w:ind w:left="1800"/>
        <w:jc w:val="center"/>
        <w:rPr>
          <w:b/>
          <w:color w:val="002868"/>
          <w:sz w:val="44"/>
          <w:szCs w:val="22"/>
          <w:lang w:val="es-US"/>
        </w:rPr>
      </w:pPr>
      <w:r w:rsidRPr="00174370">
        <w:rPr>
          <w:noProof/>
          <w:sz w:val="22"/>
          <w:szCs w:val="22"/>
        </w:rPr>
        <w:drawing>
          <wp:anchor distT="0" distB="0" distL="0" distR="0" simplePos="0" relativeHeight="251658240" behindDoc="0" locked="0" layoutInCell="1" allowOverlap="1" wp14:anchorId="5A854895" wp14:editId="5A854896">
            <wp:simplePos x="0" y="0"/>
            <wp:positionH relativeFrom="margin">
              <wp:posOffset>144145</wp:posOffset>
            </wp:positionH>
            <wp:positionV relativeFrom="paragraph">
              <wp:posOffset>-274955</wp:posOffset>
            </wp:positionV>
            <wp:extent cx="1372870" cy="833049"/>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2870" cy="833049"/>
                    </a:xfrm>
                    <a:prstGeom prst="rect">
                      <a:avLst/>
                    </a:prstGeom>
                  </pic:spPr>
                </pic:pic>
              </a:graphicData>
            </a:graphic>
            <wp14:sizeRelH relativeFrom="margin">
              <wp14:pctWidth>0</wp14:pctWidth>
            </wp14:sizeRelH>
            <wp14:sizeRelV relativeFrom="margin">
              <wp14:pctHeight>0</wp14:pctHeight>
            </wp14:sizeRelV>
          </wp:anchor>
        </w:drawing>
      </w:r>
      <w:r>
        <w:rPr>
          <w:b/>
          <w:bCs/>
          <w:color w:val="002868"/>
          <w:sz w:val="44"/>
          <w:szCs w:val="44"/>
          <w:bdr w:val="nil"/>
          <w:lang w:val="es-ES_tradnl"/>
        </w:rPr>
        <w:t xml:space="preserve">Cobertura de Medicare </w:t>
      </w:r>
      <w:r>
        <w:rPr>
          <w:b/>
          <w:bCs/>
          <w:color w:val="002868"/>
          <w:sz w:val="44"/>
          <w:szCs w:val="44"/>
          <w:bdr w:val="nil"/>
          <w:lang w:val="es-ES_tradnl"/>
        </w:rPr>
        <w:br/>
      </w:r>
      <w:r>
        <w:rPr>
          <w:b/>
          <w:bCs/>
          <w:color w:val="002868"/>
          <w:sz w:val="44"/>
          <w:szCs w:val="44"/>
          <w:bdr w:val="nil"/>
          <w:lang w:val="es-ES_tradnl"/>
        </w:rPr>
        <w:t>relacionada con el COVID-19</w:t>
      </w:r>
    </w:p>
    <w:p w14:paraId="5A854854" w14:textId="77777777" w:rsidR="0044452F" w:rsidRPr="007A1620" w:rsidRDefault="007A1620" w:rsidP="00F51005">
      <w:pPr>
        <w:pStyle w:val="Heading1"/>
        <w:ind w:left="1800"/>
        <w:jc w:val="center"/>
        <w:rPr>
          <w:sz w:val="28"/>
          <w:szCs w:val="28"/>
          <w:lang w:val="es-US"/>
        </w:rPr>
      </w:pPr>
      <w:r>
        <w:rPr>
          <w:color w:val="5F8671"/>
          <w:sz w:val="28"/>
          <w:szCs w:val="28"/>
          <w:bdr w:val="nil"/>
          <w:lang w:val="es-ES_tradnl"/>
        </w:rPr>
        <w:t>Preguntas y respuestas para los beneficiarios de Medicare</w:t>
      </w:r>
    </w:p>
    <w:p w14:paraId="5A854855" w14:textId="77777777" w:rsidR="0044452F" w:rsidRPr="007A1620" w:rsidRDefault="0044452F" w:rsidP="00F51005">
      <w:pPr>
        <w:pStyle w:val="BodyText"/>
        <w:rPr>
          <w:b/>
          <w:sz w:val="19"/>
          <w:lang w:val="es-US"/>
        </w:rPr>
      </w:pPr>
    </w:p>
    <w:p w14:paraId="5A854856" w14:textId="77777777" w:rsidR="00D257AE" w:rsidRPr="007A1620" w:rsidRDefault="007A1620" w:rsidP="00F51005">
      <w:pPr>
        <w:pStyle w:val="BodyText"/>
        <w:ind w:left="100" w:right="160"/>
        <w:rPr>
          <w:sz w:val="24"/>
          <w:szCs w:val="24"/>
          <w:lang w:val="es-US"/>
        </w:rPr>
      </w:pPr>
      <w:r>
        <w:rPr>
          <w:sz w:val="24"/>
          <w:szCs w:val="24"/>
          <w:bdr w:val="nil"/>
          <w:lang w:val="es-ES_tradnl"/>
        </w:rPr>
        <w:t xml:space="preserve">Las estafas relacionadas con el coronavirus, también conocido como COVID-19, están aumentando rápidamente a medida que la emergencia de salud pública sigue evolucionando. Los </w:t>
      </w:r>
      <w:r>
        <w:rPr>
          <w:sz w:val="24"/>
          <w:szCs w:val="24"/>
          <w:bdr w:val="nil"/>
          <w:lang w:val="es-ES_tradnl"/>
        </w:rPr>
        <w:t xml:space="preserve">estafadores se están enfocando en los adultos mayores y en las personas que tienen condiciones graves de salud a largo plazo y que parecen tener un riesgo más alto de enfermarse gravemente debido al COVID-19. Los defraudadores están tratando de facturarle </w:t>
      </w:r>
      <w:r>
        <w:rPr>
          <w:sz w:val="24"/>
          <w:szCs w:val="24"/>
          <w:bdr w:val="nil"/>
          <w:lang w:val="es-ES_tradnl"/>
        </w:rPr>
        <w:t xml:space="preserve">a Medicare por pruebas o tratamientos falsos relacionados con el coronavirus y están engañando a las personas para obtener dinero o números de Medicare de forma ilegal.  </w:t>
      </w:r>
    </w:p>
    <w:p w14:paraId="5A854857" w14:textId="77777777" w:rsidR="0044452F" w:rsidRPr="007A1620" w:rsidRDefault="007A1620" w:rsidP="00F51005">
      <w:pPr>
        <w:pStyle w:val="BodyText"/>
        <w:ind w:left="100" w:right="160"/>
        <w:rPr>
          <w:sz w:val="24"/>
          <w:szCs w:val="24"/>
          <w:lang w:val="es-US"/>
        </w:rPr>
      </w:pPr>
      <w:r>
        <w:rPr>
          <w:sz w:val="24"/>
          <w:szCs w:val="24"/>
          <w:bdr w:val="nil"/>
          <w:lang w:val="es-ES_tradnl"/>
        </w:rPr>
        <w:t>El pro</w:t>
      </w:r>
      <w:r>
        <w:rPr>
          <w:sz w:val="24"/>
          <w:szCs w:val="24"/>
          <w:bdr w:val="nil"/>
          <w:lang w:val="es-ES_tradnl"/>
        </w:rPr>
        <w:t>grama de la Patrulla de Medicare para Adultos Mayores (SMP, por sus siglas en inglés) quiere que los beneficiarios de Medicare cuenten con la información más actualizada relacionada con lo que Medicare cubre y cuándo lo cubre. Este documento brinda respues</w:t>
      </w:r>
      <w:r>
        <w:rPr>
          <w:sz w:val="24"/>
          <w:szCs w:val="24"/>
          <w:bdr w:val="nil"/>
          <w:lang w:val="es-ES_tradnl"/>
        </w:rPr>
        <w:t>tas a las preguntas más comunes sobre la cobertura de Medicare relacionada con el COVID-19.</w:t>
      </w:r>
    </w:p>
    <w:p w14:paraId="5A854858" w14:textId="77777777" w:rsidR="0044452F" w:rsidRPr="007A1620" w:rsidRDefault="0044452F" w:rsidP="00F51005">
      <w:pPr>
        <w:pStyle w:val="BodyText"/>
        <w:rPr>
          <w:sz w:val="24"/>
          <w:szCs w:val="24"/>
          <w:lang w:val="es-US"/>
        </w:rPr>
      </w:pPr>
    </w:p>
    <w:p w14:paraId="5A854859" w14:textId="77777777" w:rsidR="0044452F" w:rsidRPr="007A1620" w:rsidRDefault="007A1620" w:rsidP="00F51005">
      <w:pPr>
        <w:pStyle w:val="Heading3"/>
        <w:spacing w:line="317" w:lineRule="exact"/>
        <w:ind w:left="450"/>
        <w:rPr>
          <w:sz w:val="24"/>
          <w:szCs w:val="24"/>
          <w:lang w:val="es-US"/>
        </w:rPr>
      </w:pPr>
      <w:r>
        <w:rPr>
          <w:sz w:val="24"/>
          <w:szCs w:val="24"/>
          <w:bdr w:val="nil"/>
          <w:lang w:val="es-ES_tradnl"/>
        </w:rPr>
        <w:t>P</w:t>
      </w:r>
      <w:r>
        <w:rPr>
          <w:b w:val="0"/>
          <w:bCs w:val="0"/>
          <w:sz w:val="24"/>
          <w:szCs w:val="24"/>
          <w:bdr w:val="nil"/>
          <w:lang w:val="es-ES_tradnl"/>
        </w:rPr>
        <w:t xml:space="preserve">. </w:t>
      </w:r>
      <w:r>
        <w:rPr>
          <w:b w:val="0"/>
          <w:bCs w:val="0"/>
          <w:sz w:val="24"/>
          <w:szCs w:val="24"/>
          <w:bdr w:val="nil"/>
          <w:lang w:val="es-ES_tradnl"/>
        </w:rPr>
        <w:tab/>
      </w:r>
      <w:r>
        <w:rPr>
          <w:sz w:val="24"/>
          <w:szCs w:val="24"/>
          <w:bdr w:val="nil"/>
          <w:lang w:val="es-ES_tradnl"/>
        </w:rPr>
        <w:t>¿Qué deben hacer los beneficiarios de Medicare sobre los procedimientos no relacionados con el COVID (por ejemplo, una cirugía programada) si los estados o las ciudades estaban o</w:t>
      </w:r>
      <w:r>
        <w:rPr>
          <w:sz w:val="24"/>
          <w:szCs w:val="24"/>
          <w:bdr w:val="nil"/>
          <w:lang w:val="es-ES_tradnl"/>
        </w:rPr>
        <w:t xml:space="preserve"> están posponiéndolos?</w:t>
      </w:r>
    </w:p>
    <w:p w14:paraId="5A85485A" w14:textId="77777777" w:rsidR="0044452F" w:rsidRPr="007A1620" w:rsidRDefault="007A1620" w:rsidP="00F51005">
      <w:pPr>
        <w:pStyle w:val="BodyText"/>
        <w:tabs>
          <w:tab w:val="left" w:pos="450"/>
        </w:tabs>
        <w:ind w:left="460" w:right="160" w:hanging="360"/>
        <w:rPr>
          <w:sz w:val="24"/>
          <w:szCs w:val="24"/>
          <w:lang w:val="es-US"/>
        </w:rPr>
      </w:pPr>
      <w:r>
        <w:rPr>
          <w:b/>
          <w:bCs/>
          <w:sz w:val="24"/>
          <w:szCs w:val="24"/>
          <w:bdr w:val="nil"/>
          <w:lang w:val="es-ES_tradnl"/>
        </w:rPr>
        <w:t>R</w:t>
      </w:r>
      <w:r>
        <w:rPr>
          <w:sz w:val="24"/>
          <w:szCs w:val="24"/>
          <w:bdr w:val="nil"/>
          <w:lang w:val="es-ES_tradnl"/>
        </w:rPr>
        <w:t xml:space="preserve">. </w:t>
      </w:r>
      <w:r>
        <w:rPr>
          <w:sz w:val="24"/>
          <w:szCs w:val="24"/>
          <w:bdr w:val="nil"/>
          <w:lang w:val="es-ES_tradnl"/>
        </w:rPr>
        <w:tab/>
      </w:r>
      <w:r>
        <w:rPr>
          <w:sz w:val="24"/>
          <w:szCs w:val="24"/>
          <w:bdr w:val="nil"/>
          <w:lang w:val="es-ES_tradnl"/>
        </w:rPr>
        <w:tab/>
        <w:t>A medida que se les pide con cada vez más frecuencia a los proveedores</w:t>
      </w:r>
      <w:r>
        <w:rPr>
          <w:sz w:val="24"/>
          <w:szCs w:val="24"/>
          <w:bdr w:val="nil"/>
          <w:lang w:val="es-ES_tradnl"/>
        </w:rPr>
        <w:t xml:space="preserve"> de atención de salud que ayuden con la respuesta ante el COVID-19, es crucial que consideren si se pueden retrasar las cirugías y los procedimientos optativos o no urgentes para que puedan usar el equipo de protección personal (PPE, por sus siglas en ingl</w:t>
      </w:r>
      <w:r>
        <w:rPr>
          <w:sz w:val="24"/>
          <w:szCs w:val="24"/>
          <w:bdr w:val="nil"/>
          <w:lang w:val="es-ES_tradnl"/>
        </w:rPr>
        <w:t>és), las camas y los respiradores limitados para cuidar a los pacientes con COVID-19. Estas recomendaciones de los Centro de Servicios de Medicare y Medicaid (CMS, por sus siglas en inglés) describen los factores que deben tomarse en cuenta para posponer l</w:t>
      </w:r>
      <w:r>
        <w:rPr>
          <w:sz w:val="24"/>
          <w:szCs w:val="24"/>
          <w:bdr w:val="nil"/>
          <w:lang w:val="es-ES_tradnl"/>
        </w:rPr>
        <w:t xml:space="preserve">as cirugías optativas y los procedimientos médicos, quirúrgicos y dentales no esenciales: </w:t>
      </w:r>
      <w:hyperlink r:id="rId7" w:history="1">
        <w:r>
          <w:rPr>
            <w:color w:val="0000FF"/>
            <w:sz w:val="24"/>
            <w:szCs w:val="24"/>
            <w:u w:val="single"/>
            <w:bdr w:val="nil"/>
            <w:lang w:val="es-ES_tradnl"/>
          </w:rPr>
          <w:t>https://www.cms.gov/files/document/31820-cms-adult-elective-surgery-and-procedures-recommendations.pdf</w:t>
        </w:r>
      </w:hyperlink>
      <w:r>
        <w:rPr>
          <w:sz w:val="24"/>
          <w:szCs w:val="24"/>
          <w:bdr w:val="nil"/>
          <w:lang w:val="es-ES_tradnl"/>
        </w:rPr>
        <w:t xml:space="preserve"> </w:t>
      </w:r>
    </w:p>
    <w:p w14:paraId="5A85485B" w14:textId="77777777" w:rsidR="00C61236" w:rsidRPr="007A1620" w:rsidRDefault="00C61236" w:rsidP="00F51005">
      <w:pPr>
        <w:pStyle w:val="BodyText"/>
        <w:ind w:right="137"/>
        <w:rPr>
          <w:sz w:val="24"/>
          <w:szCs w:val="24"/>
          <w:lang w:val="es-US"/>
        </w:rPr>
      </w:pPr>
      <w:bookmarkStart w:id="0" w:name="_Hlk37222891"/>
      <w:bookmarkStart w:id="1" w:name="_Hlk37680850"/>
    </w:p>
    <w:p w14:paraId="5A85485C" w14:textId="77777777" w:rsidR="0044452F" w:rsidRPr="007A1620" w:rsidRDefault="007A1620" w:rsidP="00F51005">
      <w:pPr>
        <w:pStyle w:val="Heading3"/>
        <w:spacing w:line="317" w:lineRule="exact"/>
        <w:ind w:left="450"/>
        <w:rPr>
          <w:sz w:val="24"/>
          <w:szCs w:val="24"/>
          <w:lang w:val="es-US"/>
        </w:rPr>
      </w:pPr>
      <w:r>
        <w:rPr>
          <w:sz w:val="24"/>
          <w:szCs w:val="24"/>
          <w:bdr w:val="nil"/>
          <w:lang w:val="es-ES_tradnl"/>
        </w:rPr>
        <w:t xml:space="preserve">P.  </w:t>
      </w:r>
      <w:bookmarkEnd w:id="0"/>
      <w:r>
        <w:rPr>
          <w:sz w:val="24"/>
          <w:szCs w:val="24"/>
          <w:bdr w:val="nil"/>
          <w:lang w:val="es-ES_tradnl"/>
        </w:rPr>
        <w:t>¿Qué se aconseja con respecto a recibir servicios de atención médica a domicilio de Medicare durante la pandemia del COVID-19?</w:t>
      </w:r>
    </w:p>
    <w:p w14:paraId="5A85485D" w14:textId="77777777" w:rsidR="0044452F" w:rsidRPr="007A1620" w:rsidRDefault="007A1620" w:rsidP="00F51005">
      <w:pPr>
        <w:pStyle w:val="BodyText"/>
        <w:tabs>
          <w:tab w:val="left" w:pos="450"/>
        </w:tabs>
        <w:ind w:left="460" w:right="160" w:hanging="360"/>
        <w:rPr>
          <w:sz w:val="24"/>
          <w:szCs w:val="24"/>
          <w:lang w:val="es-US"/>
        </w:rPr>
      </w:pPr>
      <w:r>
        <w:rPr>
          <w:b/>
          <w:bCs/>
          <w:sz w:val="24"/>
          <w:szCs w:val="24"/>
          <w:bdr w:val="nil"/>
          <w:lang w:val="es-ES_tradnl"/>
        </w:rPr>
        <w:t>R.</w:t>
      </w:r>
      <w:r>
        <w:rPr>
          <w:b/>
          <w:bCs/>
          <w:bdr w:val="nil"/>
          <w:lang w:val="es-ES_tradnl"/>
        </w:rPr>
        <w:tab/>
      </w:r>
      <w:r>
        <w:rPr>
          <w:sz w:val="24"/>
          <w:szCs w:val="24"/>
          <w:bdr w:val="nil"/>
          <w:lang w:val="es-ES_tradnl"/>
        </w:rPr>
        <w:t>Las agencias de atención médica a domicilio pueden seguir proporcionando servicios a los beneficiarios</w:t>
      </w:r>
      <w:r>
        <w:rPr>
          <w:sz w:val="24"/>
          <w:szCs w:val="24"/>
          <w:bdr w:val="nil"/>
          <w:lang w:val="es-ES_tradnl"/>
        </w:rPr>
        <w:t xml:space="preserve">. Esto les permitirá a los pacientes recibir atención en el entorno que sea mejor para ellos mientras reciben apoyo para controlar las infecciones y reducir el impacto de los centros de atención intensiva y de cuidado a largo plazo (LTC, por sus siglas en </w:t>
      </w:r>
      <w:r>
        <w:rPr>
          <w:sz w:val="24"/>
          <w:szCs w:val="24"/>
          <w:bdr w:val="nil"/>
          <w:lang w:val="es-ES_tradnl"/>
        </w:rPr>
        <w:t>inglés). Las agencias de atención médica a domicilio también pueden utilizar la telesalud para realizar evaluaciones iniciales y determinar el estatus de confinamiento en el hogar de los pacientes a distancia o al revisar el expediente. De ser necesario, u</w:t>
      </w:r>
      <w:r>
        <w:rPr>
          <w:sz w:val="24"/>
          <w:szCs w:val="24"/>
          <w:bdr w:val="nil"/>
          <w:lang w:val="es-ES_tradnl"/>
        </w:rPr>
        <w:t>n enfermero de atención médica a domicilio también podría obtener una muestra durante una consulta cubierta para enviarla al laboratorio y realizar una prueba de diagnóstico de COVID-19.</w:t>
      </w:r>
    </w:p>
    <w:bookmarkEnd w:id="1"/>
    <w:p w14:paraId="4F5A7212" w14:textId="31112045" w:rsidR="007A1620" w:rsidRDefault="007A1620">
      <w:pPr>
        <w:rPr>
          <w:sz w:val="24"/>
          <w:szCs w:val="24"/>
          <w:lang w:val="es-US"/>
        </w:rPr>
      </w:pPr>
      <w:r>
        <w:rPr>
          <w:sz w:val="24"/>
          <w:szCs w:val="24"/>
          <w:lang w:val="es-US"/>
        </w:rPr>
        <w:br w:type="page"/>
      </w:r>
    </w:p>
    <w:p w14:paraId="5A85485F" w14:textId="77777777" w:rsidR="0044452F" w:rsidRPr="007A1620" w:rsidRDefault="007A1620" w:rsidP="00F51005">
      <w:pPr>
        <w:pStyle w:val="Heading3"/>
        <w:spacing w:line="317" w:lineRule="exact"/>
        <w:ind w:left="450"/>
        <w:rPr>
          <w:sz w:val="24"/>
          <w:szCs w:val="24"/>
          <w:lang w:val="es-US"/>
        </w:rPr>
      </w:pPr>
      <w:r>
        <w:rPr>
          <w:sz w:val="24"/>
          <w:szCs w:val="24"/>
          <w:bdr w:val="nil"/>
          <w:lang w:val="es-ES_tradnl"/>
        </w:rPr>
        <w:lastRenderedPageBreak/>
        <w:t>P.  Durante la pandemia del COVID-19, los centros de enfermería especializada (SNF, por sus siglas en inglés) o los asilos pueden entrar y salir del confinamiento. ¿Qué pasaría si tengo un ser querido que necesita ingresar a uno después de una h</w:t>
      </w:r>
      <w:r>
        <w:rPr>
          <w:sz w:val="24"/>
          <w:szCs w:val="24"/>
          <w:bdr w:val="nil"/>
          <w:lang w:val="es-ES_tradnl"/>
        </w:rPr>
        <w:t>ospitalización no relacionada con el COVID-19?</w:t>
      </w:r>
    </w:p>
    <w:p w14:paraId="5A854860" w14:textId="77777777" w:rsidR="0044452F" w:rsidRPr="007A1620" w:rsidRDefault="007A1620" w:rsidP="00F51005">
      <w:pPr>
        <w:pStyle w:val="BodyText"/>
        <w:ind w:left="460" w:hanging="360"/>
        <w:rPr>
          <w:sz w:val="24"/>
          <w:szCs w:val="24"/>
          <w:lang w:val="es-US"/>
        </w:rPr>
      </w:pPr>
      <w:r>
        <w:rPr>
          <w:b/>
          <w:bCs/>
          <w:sz w:val="24"/>
          <w:szCs w:val="24"/>
          <w:bdr w:val="nil"/>
          <w:lang w:val="es-ES_tradnl"/>
        </w:rPr>
        <w:t xml:space="preserve">R. </w:t>
      </w:r>
      <w:r>
        <w:rPr>
          <w:b/>
          <w:bCs/>
          <w:sz w:val="24"/>
          <w:szCs w:val="24"/>
          <w:bdr w:val="nil"/>
          <w:lang w:val="es-ES_tradnl"/>
        </w:rPr>
        <w:tab/>
      </w:r>
      <w:r>
        <w:rPr>
          <w:sz w:val="24"/>
          <w:szCs w:val="24"/>
          <w:bdr w:val="nil"/>
          <w:lang w:val="es-ES_tradnl"/>
        </w:rPr>
        <w:t>Los cierres de emergencia actuales aplican a lo</w:t>
      </w:r>
      <w:r>
        <w:rPr>
          <w:sz w:val="24"/>
          <w:szCs w:val="24"/>
          <w:bdr w:val="nil"/>
          <w:lang w:val="es-ES_tradnl"/>
        </w:rPr>
        <w:t>s visitantes de estos centros. De conformidad con las recomendaciones previas de los CMS, se les debe preguntar a todas las personas, sin importar la razón de su visita a un centro LTC (incluidos residentes, personal, visitantes, trabajadores externos de a</w:t>
      </w:r>
      <w:r>
        <w:rPr>
          <w:sz w:val="24"/>
          <w:szCs w:val="24"/>
          <w:bdr w:val="nil"/>
          <w:lang w:val="es-ES_tradnl"/>
        </w:rPr>
        <w:t>tención médica a domicilio, distribuidores, etc.), sobre sus síntomas de COVID-19 y también se les debe tomar la temperatura.</w:t>
      </w:r>
    </w:p>
    <w:p w14:paraId="5A854861" w14:textId="77777777" w:rsidR="00CF445C" w:rsidRPr="007A1620" w:rsidRDefault="00CF445C" w:rsidP="00F51005">
      <w:pPr>
        <w:pStyle w:val="BodyText"/>
        <w:ind w:left="460" w:hanging="10"/>
        <w:rPr>
          <w:sz w:val="24"/>
          <w:szCs w:val="24"/>
          <w:lang w:val="es-US"/>
        </w:rPr>
      </w:pPr>
    </w:p>
    <w:p w14:paraId="5A854862" w14:textId="77777777" w:rsidR="00CF445C" w:rsidRPr="007A1620" w:rsidRDefault="007A1620" w:rsidP="00F51005">
      <w:pPr>
        <w:pStyle w:val="BodyText"/>
        <w:ind w:left="460" w:hanging="10"/>
        <w:rPr>
          <w:sz w:val="24"/>
          <w:szCs w:val="24"/>
          <w:lang w:val="es-US"/>
        </w:rPr>
      </w:pPr>
      <w:r>
        <w:rPr>
          <w:sz w:val="24"/>
          <w:szCs w:val="24"/>
          <w:bdr w:val="nil"/>
          <w:lang w:val="es-ES_tradnl"/>
        </w:rPr>
        <w:t xml:space="preserve">Aceptar a los residentes de un hospital </w:t>
      </w:r>
      <w:r>
        <w:rPr>
          <w:sz w:val="24"/>
          <w:szCs w:val="24"/>
          <w:bdr w:val="nil"/>
          <w:lang w:val="es-ES_tradnl"/>
        </w:rPr>
        <w:t xml:space="preserve">también depende de si el centro LTC tiene niveles adecuados de personal y de equipo de protección personal (PPE, por sus siglas en inglés) para atender a los residentes que tienen COVID. Si esto no es posible, el centro LTC debe dejar de aceptar todas las </w:t>
      </w:r>
      <w:r>
        <w:rPr>
          <w:sz w:val="24"/>
          <w:szCs w:val="24"/>
          <w:bdr w:val="nil"/>
          <w:lang w:val="es-ES_tradnl"/>
        </w:rPr>
        <w:t>admisiones hasta que tenga suficientes niveles de personal y de PPE para atender a los residentes.</w:t>
      </w:r>
    </w:p>
    <w:p w14:paraId="5A854863" w14:textId="77777777" w:rsidR="00421AD1" w:rsidRPr="007A1620" w:rsidRDefault="00421AD1" w:rsidP="00F51005">
      <w:pPr>
        <w:pStyle w:val="Default"/>
        <w:rPr>
          <w:lang w:val="es-US"/>
        </w:rPr>
      </w:pPr>
    </w:p>
    <w:p w14:paraId="5A854864" w14:textId="77777777" w:rsidR="00421AD1" w:rsidRPr="007A1620" w:rsidRDefault="007A1620" w:rsidP="00F51005">
      <w:pPr>
        <w:pStyle w:val="BodyText"/>
        <w:ind w:left="460" w:hanging="10"/>
        <w:rPr>
          <w:sz w:val="24"/>
          <w:szCs w:val="24"/>
          <w:lang w:val="es-US"/>
        </w:rPr>
      </w:pPr>
      <w:r>
        <w:rPr>
          <w:sz w:val="24"/>
          <w:szCs w:val="24"/>
          <w:bdr w:val="nil"/>
          <w:lang w:val="es-ES_tradnl"/>
        </w:rPr>
        <w:t>Las unidades y los centros para personas con COVID-19 deben ser capaces de ma</w:t>
      </w:r>
      <w:r>
        <w:rPr>
          <w:sz w:val="24"/>
          <w:szCs w:val="24"/>
          <w:bdr w:val="nil"/>
          <w:lang w:val="es-ES_tradnl"/>
        </w:rPr>
        <w:t>ntener estrictas prácticas de control de infecciones y protocolos de pruebas, según lo requerido por las normas. Cuando sea posible, los centros deben tener una asignación consistente o tener equipos de personal separados para los pacientes que tienen COVI</w:t>
      </w:r>
      <w:r>
        <w:rPr>
          <w:sz w:val="24"/>
          <w:szCs w:val="24"/>
          <w:bdr w:val="nil"/>
          <w:lang w:val="es-ES_tradnl"/>
        </w:rPr>
        <w:t xml:space="preserve">D-19 y para los que no tienen COVID-19. </w:t>
      </w:r>
    </w:p>
    <w:p w14:paraId="5A854865" w14:textId="77777777" w:rsidR="00421AD1" w:rsidRPr="007A1620" w:rsidRDefault="00421AD1" w:rsidP="00F51005">
      <w:pPr>
        <w:pStyle w:val="BodyText"/>
        <w:ind w:left="460" w:hanging="360"/>
        <w:rPr>
          <w:sz w:val="24"/>
          <w:szCs w:val="24"/>
          <w:lang w:val="es-US"/>
        </w:rPr>
      </w:pPr>
    </w:p>
    <w:p w14:paraId="5A854866" w14:textId="77777777" w:rsidR="0044452F" w:rsidRPr="007A1620" w:rsidRDefault="007A1620" w:rsidP="00F51005">
      <w:pPr>
        <w:pStyle w:val="Heading3"/>
        <w:spacing w:line="317" w:lineRule="exact"/>
        <w:ind w:left="450"/>
        <w:rPr>
          <w:sz w:val="24"/>
          <w:szCs w:val="24"/>
          <w:lang w:val="es-US"/>
        </w:rPr>
      </w:pPr>
      <w:r>
        <w:rPr>
          <w:sz w:val="24"/>
          <w:szCs w:val="24"/>
          <w:bdr w:val="nil"/>
          <w:lang w:val="es-ES_tradnl"/>
        </w:rPr>
        <w:t xml:space="preserve">P. </w:t>
      </w:r>
      <w:r>
        <w:rPr>
          <w:sz w:val="24"/>
          <w:szCs w:val="24"/>
          <w:bdr w:val="nil"/>
          <w:lang w:val="es-ES_tradnl"/>
        </w:rPr>
        <w:tab/>
        <w:t>¿Sabe si los CMS están dejando de aplicar cualquiera de las reglas de alivio de los hospicios en los centros de atención a largo pl</w:t>
      </w:r>
      <w:r>
        <w:rPr>
          <w:sz w:val="24"/>
          <w:szCs w:val="24"/>
          <w:bdr w:val="nil"/>
          <w:lang w:val="es-ES_tradnl"/>
        </w:rPr>
        <w:t>azo que están limitando las admisiones?</w:t>
      </w:r>
    </w:p>
    <w:p w14:paraId="5A854867" w14:textId="77777777" w:rsidR="0044452F" w:rsidRPr="007A1620" w:rsidRDefault="007A1620" w:rsidP="00F51005">
      <w:pPr>
        <w:pStyle w:val="BodyText"/>
        <w:ind w:left="460" w:right="301" w:hanging="360"/>
        <w:rPr>
          <w:sz w:val="24"/>
          <w:szCs w:val="24"/>
          <w:lang w:val="es-US"/>
        </w:rPr>
      </w:pPr>
      <w:r>
        <w:rPr>
          <w:b/>
          <w:bCs/>
          <w:sz w:val="24"/>
          <w:szCs w:val="24"/>
          <w:bdr w:val="nil"/>
          <w:lang w:val="es-ES_tradnl"/>
        </w:rPr>
        <w:t xml:space="preserve">R. </w:t>
      </w:r>
      <w:r>
        <w:rPr>
          <w:b/>
          <w:bCs/>
          <w:color w:val="00B050"/>
          <w:sz w:val="24"/>
          <w:szCs w:val="24"/>
          <w:bdr w:val="nil"/>
          <w:lang w:val="es-ES_tradnl"/>
        </w:rPr>
        <w:tab/>
      </w:r>
      <w:r>
        <w:rPr>
          <w:sz w:val="24"/>
          <w:szCs w:val="24"/>
          <w:bdr w:val="nil"/>
          <w:lang w:val="es-ES_tradnl"/>
        </w:rPr>
        <w:t xml:space="preserve">Mientras el centro tenga capacidad, debe poder seguir aceptando pacientes, incluyendo a los pacientes de alivio de los hospicios. </w:t>
      </w:r>
    </w:p>
    <w:p w14:paraId="5A854868" w14:textId="77777777" w:rsidR="0044452F" w:rsidRPr="007A1620" w:rsidRDefault="0044452F" w:rsidP="00F51005">
      <w:pPr>
        <w:rPr>
          <w:sz w:val="24"/>
          <w:szCs w:val="24"/>
          <w:lang w:val="es-US"/>
        </w:rPr>
      </w:pPr>
    </w:p>
    <w:p w14:paraId="5A854869" w14:textId="77777777" w:rsidR="00D257AE" w:rsidRPr="007A1620" w:rsidRDefault="007A1620" w:rsidP="00F51005">
      <w:pPr>
        <w:pStyle w:val="Heading3"/>
        <w:spacing w:line="317" w:lineRule="exact"/>
        <w:ind w:left="450"/>
        <w:rPr>
          <w:sz w:val="24"/>
          <w:szCs w:val="24"/>
          <w:lang w:val="es-US"/>
        </w:rPr>
      </w:pPr>
      <w:r>
        <w:rPr>
          <w:sz w:val="24"/>
          <w:szCs w:val="24"/>
          <w:bdr w:val="nil"/>
          <w:lang w:val="es-ES_tradnl"/>
        </w:rPr>
        <w:t>P.  ¿Sabe si los CMS</w:t>
      </w:r>
      <w:r>
        <w:rPr>
          <w:sz w:val="24"/>
          <w:szCs w:val="24"/>
          <w:bdr w:val="nil"/>
          <w:lang w:val="es-ES_tradnl"/>
        </w:rPr>
        <w:t xml:space="preserve"> están permitiendo que los hospicios proporcionen alivio adicional en los hogares, en lugar de en los centros de atención a largo plazo?</w:t>
      </w:r>
    </w:p>
    <w:p w14:paraId="5A85486A" w14:textId="77777777" w:rsidR="0094376C" w:rsidRPr="007A1620" w:rsidRDefault="007A1620" w:rsidP="00F51005">
      <w:pPr>
        <w:pStyle w:val="BodyText"/>
        <w:ind w:left="460" w:right="137" w:hanging="360"/>
        <w:rPr>
          <w:sz w:val="24"/>
          <w:szCs w:val="24"/>
          <w:lang w:val="es-US"/>
        </w:rPr>
      </w:pPr>
      <w:r>
        <w:rPr>
          <w:b/>
          <w:bCs/>
          <w:sz w:val="24"/>
          <w:szCs w:val="24"/>
          <w:bdr w:val="nil"/>
          <w:lang w:val="es-ES_tradnl"/>
        </w:rPr>
        <w:t xml:space="preserve">R. </w:t>
      </w:r>
      <w:r>
        <w:rPr>
          <w:b/>
          <w:bCs/>
          <w:sz w:val="24"/>
          <w:szCs w:val="24"/>
          <w:bdr w:val="nil"/>
          <w:lang w:val="es-ES_tradnl"/>
        </w:rPr>
        <w:tab/>
      </w:r>
      <w:r>
        <w:rPr>
          <w:sz w:val="24"/>
          <w:szCs w:val="24"/>
          <w:bdr w:val="nil"/>
          <w:lang w:val="es-ES_tradnl"/>
        </w:rPr>
        <w:t>En este momento, la administración no ha ampliado las opciones de atención de alivio para el hospicio.</w:t>
      </w:r>
    </w:p>
    <w:p w14:paraId="5A85486B" w14:textId="77777777" w:rsidR="00A424F2" w:rsidRPr="007A1620" w:rsidRDefault="00A424F2" w:rsidP="00F51005">
      <w:pPr>
        <w:pStyle w:val="Heading3"/>
        <w:spacing w:line="317" w:lineRule="exact"/>
        <w:ind w:left="450"/>
        <w:rPr>
          <w:sz w:val="24"/>
          <w:szCs w:val="24"/>
          <w:lang w:val="es-US"/>
        </w:rPr>
      </w:pPr>
    </w:p>
    <w:p w14:paraId="5A85486C" w14:textId="77777777" w:rsidR="0094376C" w:rsidRPr="007A1620" w:rsidRDefault="007A1620" w:rsidP="00F51005">
      <w:pPr>
        <w:pStyle w:val="Heading3"/>
        <w:spacing w:line="317" w:lineRule="exact"/>
        <w:ind w:left="450"/>
        <w:rPr>
          <w:sz w:val="24"/>
          <w:szCs w:val="24"/>
          <w:lang w:val="es-US"/>
        </w:rPr>
      </w:pPr>
      <w:r>
        <w:rPr>
          <w:sz w:val="24"/>
          <w:szCs w:val="24"/>
          <w:bdr w:val="nil"/>
          <w:lang w:val="es-ES_tradnl"/>
        </w:rPr>
        <w:t>P.</w:t>
      </w:r>
      <w:r>
        <w:rPr>
          <w:sz w:val="24"/>
          <w:szCs w:val="24"/>
          <w:bdr w:val="nil"/>
          <w:lang w:val="es-ES_tradnl"/>
        </w:rPr>
        <w:tab/>
      </w:r>
      <w:bookmarkStart w:id="2" w:name="_Hlk37842894"/>
      <w:r>
        <w:rPr>
          <w:sz w:val="24"/>
          <w:szCs w:val="24"/>
          <w:bdr w:val="nil"/>
          <w:lang w:val="es-ES_tradnl"/>
        </w:rPr>
        <w:t>¿Están disponibles los serv</w:t>
      </w:r>
      <w:r>
        <w:rPr>
          <w:sz w:val="24"/>
          <w:szCs w:val="24"/>
          <w:bdr w:val="nil"/>
          <w:lang w:val="es-ES_tradnl"/>
        </w:rPr>
        <w:t>icios de telesalud a través de mi Medicare original para tratar o diagnosticar el COVID-19?</w:t>
      </w:r>
    </w:p>
    <w:p w14:paraId="5A85486D" w14:textId="77777777" w:rsidR="00A424F2" w:rsidRPr="007A1620" w:rsidRDefault="007A1620" w:rsidP="00F51005">
      <w:pPr>
        <w:pStyle w:val="BodyText"/>
        <w:ind w:left="460" w:right="137" w:hanging="360"/>
        <w:rPr>
          <w:sz w:val="24"/>
          <w:szCs w:val="24"/>
          <w:lang w:val="es-US"/>
        </w:rPr>
      </w:pPr>
      <w:r>
        <w:rPr>
          <w:b/>
          <w:bCs/>
          <w:sz w:val="24"/>
          <w:szCs w:val="24"/>
          <w:bdr w:val="nil"/>
          <w:lang w:val="es-ES_tradnl"/>
        </w:rPr>
        <w:t>R.</w:t>
      </w:r>
      <w:r>
        <w:rPr>
          <w:sz w:val="24"/>
          <w:szCs w:val="24"/>
          <w:bdr w:val="nil"/>
          <w:lang w:val="es-ES_tradnl"/>
        </w:rPr>
        <w:t xml:space="preserve"> </w:t>
      </w:r>
      <w:r>
        <w:rPr>
          <w:sz w:val="24"/>
          <w:szCs w:val="24"/>
          <w:bdr w:val="nil"/>
          <w:lang w:val="es-ES_tradnl"/>
        </w:rPr>
        <w:tab/>
        <w:t>En</w:t>
      </w:r>
      <w:r>
        <w:rPr>
          <w:sz w:val="24"/>
          <w:szCs w:val="24"/>
          <w:bdr w:val="nil"/>
          <w:lang w:val="es-ES_tradnl"/>
        </w:rPr>
        <w:t xml:space="preserve"> este momento, usted podrá recibir un conjunto específico de servicios a través de la telesalud, incluyendo consultas de evaluación y control (consultas comunes en el consultorio), consejería de salud mental y pruebas de salud preventiva. Sin embargo, si s</w:t>
      </w:r>
      <w:r>
        <w:rPr>
          <w:sz w:val="24"/>
          <w:szCs w:val="24"/>
          <w:bdr w:val="nil"/>
          <w:lang w:val="es-ES_tradnl"/>
        </w:rPr>
        <w:t>e determina que usted está en riesgo de tener COVID-19, el proveedor programará una prueba de COVID-19 para usted en el centro de pruebas más cercano disponible.</w:t>
      </w:r>
      <w:bookmarkEnd w:id="2"/>
    </w:p>
    <w:p w14:paraId="5A85486E" w14:textId="77777777" w:rsidR="004C1C5D" w:rsidRPr="007A1620" w:rsidRDefault="004C1C5D" w:rsidP="00F51005">
      <w:pPr>
        <w:pStyle w:val="BodyText"/>
        <w:ind w:left="460" w:right="137" w:hanging="360"/>
        <w:rPr>
          <w:sz w:val="24"/>
          <w:szCs w:val="24"/>
          <w:lang w:val="es-US"/>
        </w:rPr>
      </w:pPr>
    </w:p>
    <w:p w14:paraId="5A85486F" w14:textId="77777777" w:rsidR="001F0A02" w:rsidRPr="007A1620" w:rsidRDefault="007A1620" w:rsidP="00F51005">
      <w:pPr>
        <w:pStyle w:val="Heading3"/>
        <w:spacing w:line="317" w:lineRule="exact"/>
        <w:ind w:left="450"/>
        <w:rPr>
          <w:spacing w:val="-4"/>
          <w:sz w:val="24"/>
          <w:szCs w:val="24"/>
          <w:lang w:val="es-US"/>
        </w:rPr>
      </w:pPr>
      <w:r w:rsidRPr="007A1620">
        <w:rPr>
          <w:spacing w:val="-4"/>
          <w:sz w:val="24"/>
          <w:szCs w:val="24"/>
          <w:bdr w:val="nil"/>
          <w:lang w:val="es-ES_tradnl"/>
        </w:rPr>
        <w:t>P.</w:t>
      </w:r>
      <w:r w:rsidRPr="007A1620">
        <w:rPr>
          <w:spacing w:val="-4"/>
          <w:sz w:val="24"/>
          <w:szCs w:val="24"/>
          <w:bdr w:val="nil"/>
          <w:lang w:val="es-ES_tradnl"/>
        </w:rPr>
        <w:tab/>
        <w:t>¿A quién de</w:t>
      </w:r>
      <w:r w:rsidRPr="007A1620">
        <w:rPr>
          <w:spacing w:val="-4"/>
          <w:sz w:val="24"/>
          <w:szCs w:val="24"/>
          <w:bdr w:val="nil"/>
          <w:lang w:val="es-ES_tradnl"/>
        </w:rPr>
        <w:t>bo contactar si tengo preguntas sobre la cobertura de Medicare durante el COVID-19?</w:t>
      </w:r>
    </w:p>
    <w:p w14:paraId="5A854870" w14:textId="77777777" w:rsidR="001F0A02" w:rsidRPr="007A1620" w:rsidRDefault="007A1620" w:rsidP="00F51005">
      <w:pPr>
        <w:pStyle w:val="Heading3"/>
        <w:tabs>
          <w:tab w:val="left" w:pos="1080"/>
        </w:tabs>
        <w:spacing w:line="317" w:lineRule="exact"/>
        <w:ind w:left="720" w:hanging="630"/>
        <w:rPr>
          <w:rFonts w:asciiTheme="minorHAnsi" w:hAnsiTheme="minorHAnsi" w:cstheme="minorHAnsi"/>
          <w:color w:val="0F0F0F"/>
          <w:sz w:val="24"/>
          <w:szCs w:val="24"/>
          <w:lang w:val="es-US"/>
        </w:rPr>
      </w:pPr>
      <w:r>
        <w:rPr>
          <w:sz w:val="24"/>
          <w:szCs w:val="24"/>
          <w:bdr w:val="nil"/>
          <w:lang w:val="es-ES_tradnl"/>
        </w:rPr>
        <w:t xml:space="preserve">R. </w:t>
      </w:r>
      <w:r>
        <w:rPr>
          <w:sz w:val="24"/>
          <w:szCs w:val="24"/>
          <w:bdr w:val="nil"/>
          <w:lang w:val="es-ES_tradnl"/>
        </w:rPr>
        <w:tab/>
      </w:r>
      <w:r>
        <w:rPr>
          <w:rFonts w:ascii="Wingdings" w:eastAsia="Wingdings" w:hAnsi="Wingdings" w:cs="Wingdings"/>
          <w:sz w:val="24"/>
          <w:szCs w:val="24"/>
          <w:bdr w:val="nil"/>
          <w:lang w:val="es-ES_tradnl"/>
        </w:rPr>
        <w:sym w:font="Wingdings" w:char="F09F"/>
      </w:r>
      <w:r>
        <w:rPr>
          <w:b w:val="0"/>
          <w:bCs w:val="0"/>
          <w:sz w:val="24"/>
          <w:szCs w:val="24"/>
          <w:bdr w:val="nil"/>
          <w:lang w:val="es-ES_tradnl"/>
        </w:rPr>
        <w:tab/>
        <w:t>Llame al 1-800-</w:t>
      </w:r>
      <w:r>
        <w:rPr>
          <w:b w:val="0"/>
          <w:bCs w:val="0"/>
          <w:color w:val="0F0F0F"/>
          <w:sz w:val="24"/>
          <w:szCs w:val="24"/>
          <w:bdr w:val="nil"/>
          <w:lang w:val="es-ES_tradnl"/>
        </w:rPr>
        <w:t xml:space="preserve">Medicare o visite </w:t>
      </w:r>
      <w:hyperlink r:id="rId8" w:history="1">
        <w:r>
          <w:rPr>
            <w:b w:val="0"/>
            <w:bCs w:val="0"/>
            <w:color w:val="0000FF"/>
            <w:sz w:val="24"/>
            <w:szCs w:val="24"/>
            <w:u w:val="single"/>
            <w:bdr w:val="nil"/>
            <w:lang w:val="es-ES_tradnl"/>
          </w:rPr>
          <w:t>www.medicare.gov/medicare-coronavirus</w:t>
        </w:r>
      </w:hyperlink>
      <w:r>
        <w:rPr>
          <w:b w:val="0"/>
          <w:bCs w:val="0"/>
          <w:color w:val="0F0F0F"/>
          <w:sz w:val="24"/>
          <w:szCs w:val="24"/>
          <w:bdr w:val="nil"/>
          <w:lang w:val="es-ES_tradnl"/>
        </w:rPr>
        <w:t xml:space="preserve">. </w:t>
      </w:r>
      <w:r>
        <w:rPr>
          <w:color w:val="0F0F0F"/>
          <w:sz w:val="24"/>
          <w:szCs w:val="24"/>
          <w:bdr w:val="nil"/>
          <w:lang w:val="es-ES_tradnl"/>
        </w:rPr>
        <w:t xml:space="preserve"> </w:t>
      </w:r>
    </w:p>
    <w:p w14:paraId="5A854871" w14:textId="77777777" w:rsidR="001F0A02"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 xml:space="preserve">Comuníquese con </w:t>
      </w:r>
      <w:r>
        <w:rPr>
          <w:color w:val="0F0F0F"/>
          <w:sz w:val="24"/>
          <w:szCs w:val="24"/>
          <w:bdr w:val="nil"/>
          <w:lang w:val="es-ES_tradnl"/>
        </w:rPr>
        <w:t>su</w:t>
      </w:r>
      <w:r>
        <w:rPr>
          <w:sz w:val="24"/>
          <w:szCs w:val="24"/>
          <w:bdr w:val="nil"/>
          <w:lang w:val="es-ES_tradnl"/>
        </w:rPr>
        <w:t xml:space="preserve"> Programa Estatal de Asistencia sobre Seguro Médico (SHIP, por sus siglas en inglés) local en </w:t>
      </w:r>
      <w:hyperlink r:id="rId9" w:history="1">
        <w:r>
          <w:rPr>
            <w:color w:val="0000FF"/>
            <w:sz w:val="24"/>
            <w:szCs w:val="24"/>
            <w:u w:val="single"/>
            <w:bdr w:val="nil"/>
            <w:lang w:val="es-ES_tradnl"/>
          </w:rPr>
          <w:t>www.shiptacenter.org</w:t>
        </w:r>
      </w:hyperlink>
      <w:r>
        <w:rPr>
          <w:sz w:val="24"/>
          <w:szCs w:val="24"/>
          <w:bdr w:val="nil"/>
          <w:lang w:val="es-ES_tradnl"/>
        </w:rPr>
        <w:t xml:space="preserve"> o al 877-839-2675. Los SHIP proporc</w:t>
      </w:r>
      <w:r>
        <w:rPr>
          <w:sz w:val="24"/>
          <w:szCs w:val="24"/>
          <w:bdr w:val="nil"/>
          <w:lang w:val="es-ES_tradnl"/>
        </w:rPr>
        <w:t>ionan consejería y ayuda local, a profundidad y objetiva sobre los seguros a las personas elegibles para Medicare, a sus familias y a los cuidadores.</w:t>
      </w:r>
    </w:p>
    <w:p w14:paraId="5A854872" w14:textId="77777777" w:rsidR="00DB685A" w:rsidRPr="007A1620" w:rsidRDefault="00DB685A" w:rsidP="00F51005">
      <w:pPr>
        <w:widowControl/>
        <w:shd w:val="clear" w:color="auto" w:fill="FFFFFF"/>
        <w:autoSpaceDE/>
        <w:autoSpaceDN/>
        <w:ind w:left="1080"/>
        <w:rPr>
          <w:sz w:val="24"/>
          <w:szCs w:val="24"/>
          <w:lang w:val="es-US"/>
        </w:rPr>
      </w:pPr>
    </w:p>
    <w:p w14:paraId="5A854873" w14:textId="77777777" w:rsidR="00F952ED" w:rsidRPr="007A1620" w:rsidRDefault="007A1620" w:rsidP="00F51005">
      <w:pPr>
        <w:pStyle w:val="Heading3"/>
        <w:spacing w:line="317" w:lineRule="exact"/>
        <w:ind w:left="450"/>
        <w:rPr>
          <w:sz w:val="24"/>
          <w:szCs w:val="24"/>
          <w:lang w:val="es-US"/>
        </w:rPr>
      </w:pPr>
      <w:r>
        <w:rPr>
          <w:sz w:val="24"/>
          <w:szCs w:val="24"/>
          <w:bdr w:val="nil"/>
          <w:lang w:val="es-ES_tradnl"/>
        </w:rPr>
        <w:t>P.</w:t>
      </w:r>
      <w:r>
        <w:rPr>
          <w:sz w:val="24"/>
          <w:szCs w:val="24"/>
          <w:bdr w:val="nil"/>
          <w:lang w:val="es-ES_tradnl"/>
        </w:rPr>
        <w:tab/>
        <w:t>¿Qué necesito saber sob</w:t>
      </w:r>
      <w:r>
        <w:rPr>
          <w:sz w:val="24"/>
          <w:szCs w:val="24"/>
          <w:bdr w:val="nil"/>
          <w:lang w:val="es-ES_tradnl"/>
        </w:rPr>
        <w:t>re la vacuna contra el COVID-19?</w:t>
      </w:r>
    </w:p>
    <w:p w14:paraId="5A854874" w14:textId="77777777" w:rsidR="00F952ED" w:rsidRPr="007A1620" w:rsidRDefault="007A1620" w:rsidP="00F51005">
      <w:pPr>
        <w:pStyle w:val="BodyText"/>
        <w:ind w:left="460" w:right="137" w:hanging="360"/>
        <w:rPr>
          <w:sz w:val="24"/>
          <w:szCs w:val="24"/>
          <w:lang w:val="es-US"/>
        </w:rPr>
      </w:pPr>
      <w:r>
        <w:rPr>
          <w:b/>
          <w:bCs/>
          <w:sz w:val="24"/>
          <w:szCs w:val="24"/>
          <w:bdr w:val="nil"/>
          <w:lang w:val="es-ES_tradnl"/>
        </w:rPr>
        <w:t>A.</w:t>
      </w:r>
      <w:r>
        <w:rPr>
          <w:sz w:val="24"/>
          <w:szCs w:val="24"/>
          <w:bdr w:val="nil"/>
          <w:lang w:val="es-ES_tradnl"/>
        </w:rPr>
        <w:t xml:space="preserve"> </w:t>
      </w:r>
      <w:r>
        <w:rPr>
          <w:sz w:val="24"/>
          <w:szCs w:val="24"/>
          <w:bdr w:val="nil"/>
          <w:lang w:val="es-ES_tradnl"/>
        </w:rPr>
        <w:tab/>
        <w:t>Esto es lo que necesita saber sobre la vacuna contra el COVID</w:t>
      </w:r>
      <w:r>
        <w:rPr>
          <w:sz w:val="24"/>
          <w:szCs w:val="24"/>
          <w:bdr w:val="nil"/>
          <w:lang w:val="es-ES_tradnl"/>
        </w:rPr>
        <w:t>-19:</w:t>
      </w:r>
    </w:p>
    <w:p w14:paraId="5A854875" w14:textId="77777777" w:rsidR="008B239D"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Usted no tendrá que pagar nada de su propio bolsillo para vacunarse durante esta emergencia de salud pública.</w:t>
      </w:r>
    </w:p>
    <w:p w14:paraId="5A854876" w14:textId="77777777" w:rsidR="008B239D"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Medicare no se comunicará con usted para confirmar su número de Medicare o información personal por teléfono. Las tarjetas de Medicare para el COVID-19 no son reales y es una forma de tratar de robar su información.</w:t>
      </w:r>
    </w:p>
    <w:p w14:paraId="5A854877" w14:textId="77777777" w:rsidR="00F952ED"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Ninguna persona de un sitio de distribución de vacunas o pagador de atención de salud, como una compañía privada de seguros, le llamará para pedirle su número de Medicare, su número de Seguro Social n</w:t>
      </w:r>
      <w:r>
        <w:rPr>
          <w:sz w:val="24"/>
          <w:szCs w:val="24"/>
          <w:bdr w:val="nil"/>
          <w:lang w:val="es-ES_tradnl"/>
        </w:rPr>
        <w:t>i la información de su tarjeta de crédito o cuenta bancaria para registrarlo/a para recibir la vacuna.</w:t>
      </w:r>
    </w:p>
    <w:p w14:paraId="5A854878" w14:textId="77777777" w:rsidR="00C37216" w:rsidRPr="00FB6810" w:rsidRDefault="007A1620" w:rsidP="00F51005">
      <w:pPr>
        <w:widowControl/>
        <w:numPr>
          <w:ilvl w:val="0"/>
          <w:numId w:val="2"/>
        </w:numPr>
        <w:shd w:val="clear" w:color="auto" w:fill="FFFFFF"/>
        <w:autoSpaceDE/>
        <w:autoSpaceDN/>
        <w:rPr>
          <w:sz w:val="24"/>
          <w:szCs w:val="24"/>
        </w:rPr>
      </w:pPr>
      <w:bookmarkStart w:id="3" w:name="_Hlk80862784"/>
      <w:r>
        <w:rPr>
          <w:sz w:val="24"/>
          <w:szCs w:val="24"/>
          <w:bdr w:val="nil"/>
          <w:lang w:val="es-ES_tradnl"/>
        </w:rPr>
        <w:t xml:space="preserve">Usted no puede comprar una tarjeta de vacunación, crear su propia tarjeta </w:t>
      </w:r>
      <w:r>
        <w:rPr>
          <w:sz w:val="24"/>
          <w:szCs w:val="24"/>
          <w:bdr w:val="nil"/>
          <w:lang w:val="es-ES_tradnl"/>
        </w:rPr>
        <w:t>ni llenar tarjetas en blanco de registro de vacunación con información falsa. A esto se le considera un uso no autorizado de un logo/sello oficial de una agencia gubernamental. Esto es un delito.</w:t>
      </w:r>
    </w:p>
    <w:bookmarkEnd w:id="3"/>
    <w:p w14:paraId="5A854879" w14:textId="77777777" w:rsidR="00F952ED" w:rsidRPr="00FB6810" w:rsidRDefault="00F952ED" w:rsidP="00F51005">
      <w:pPr>
        <w:pStyle w:val="BodyText"/>
        <w:ind w:left="460" w:right="137" w:hanging="360"/>
        <w:rPr>
          <w:b/>
          <w:bCs/>
          <w:sz w:val="24"/>
          <w:szCs w:val="24"/>
        </w:rPr>
      </w:pPr>
    </w:p>
    <w:p w14:paraId="5A85487A" w14:textId="77777777" w:rsidR="004C1C5D" w:rsidRPr="007A1620" w:rsidRDefault="007A1620" w:rsidP="00F51005">
      <w:pPr>
        <w:pStyle w:val="BodyText"/>
        <w:ind w:left="460" w:right="137" w:hanging="360"/>
        <w:rPr>
          <w:b/>
          <w:bCs/>
          <w:sz w:val="24"/>
          <w:szCs w:val="24"/>
          <w:lang w:val="es-US"/>
        </w:rPr>
      </w:pPr>
      <w:r>
        <w:rPr>
          <w:b/>
          <w:bCs/>
          <w:sz w:val="24"/>
          <w:szCs w:val="24"/>
          <w:bdr w:val="nil"/>
          <w:lang w:val="es-ES_tradnl"/>
        </w:rPr>
        <w:t>P.</w:t>
      </w:r>
      <w:r>
        <w:rPr>
          <w:b/>
          <w:bCs/>
          <w:sz w:val="24"/>
          <w:szCs w:val="24"/>
          <w:bdr w:val="nil"/>
          <w:lang w:val="es-ES_tradnl"/>
        </w:rPr>
        <w:tab/>
        <w:t>¿Qué es lo que Medicare cubre si me enfermo de COVID-19?</w:t>
      </w:r>
    </w:p>
    <w:p w14:paraId="5A85487B" w14:textId="77777777" w:rsidR="00972304" w:rsidRPr="007A1620" w:rsidRDefault="007A1620" w:rsidP="00F51005">
      <w:pPr>
        <w:widowControl/>
        <w:shd w:val="clear" w:color="auto" w:fill="FFFFFF"/>
        <w:tabs>
          <w:tab w:val="left" w:pos="1080"/>
        </w:tabs>
        <w:autoSpaceDE/>
        <w:autoSpaceDN/>
        <w:ind w:left="720" w:hanging="630"/>
        <w:rPr>
          <w:sz w:val="24"/>
          <w:szCs w:val="24"/>
          <w:lang w:val="es-US"/>
        </w:rPr>
      </w:pPr>
      <w:r>
        <w:rPr>
          <w:b/>
          <w:bCs/>
          <w:sz w:val="24"/>
          <w:szCs w:val="24"/>
          <w:bdr w:val="nil"/>
          <w:lang w:val="es-ES_tradnl"/>
        </w:rPr>
        <w:t>R.</w:t>
      </w:r>
      <w:r>
        <w:rPr>
          <w:sz w:val="24"/>
          <w:szCs w:val="24"/>
          <w:bdr w:val="nil"/>
          <w:lang w:val="es-ES_tradnl"/>
        </w:rPr>
        <w:t xml:space="preserve"> </w:t>
      </w:r>
      <w:r>
        <w:rPr>
          <w:sz w:val="24"/>
          <w:szCs w:val="24"/>
          <w:bdr w:val="nil"/>
          <w:lang w:val="es-ES_tradnl"/>
        </w:rPr>
        <w:tab/>
      </w:r>
      <w:r>
        <w:rPr>
          <w:rFonts w:ascii="Wingdings" w:eastAsia="Wingdings" w:hAnsi="Wingdings" w:cs="Wingdings"/>
          <w:sz w:val="24"/>
          <w:szCs w:val="24"/>
          <w:bdr w:val="nil"/>
          <w:lang w:val="es-ES_tradnl"/>
        </w:rPr>
        <w:sym w:font="Wingdings" w:char="F09F"/>
      </w:r>
      <w:r>
        <w:rPr>
          <w:sz w:val="24"/>
          <w:szCs w:val="24"/>
          <w:bdr w:val="nil"/>
          <w:lang w:val="es-ES_tradnl"/>
        </w:rPr>
        <w:tab/>
        <w:t>La Parte B cubre:</w:t>
      </w:r>
    </w:p>
    <w:p w14:paraId="5A85487C" w14:textId="77777777" w:rsidR="00577890" w:rsidRPr="00FB6810" w:rsidRDefault="007A1620" w:rsidP="00F51005">
      <w:pPr>
        <w:widowControl/>
        <w:numPr>
          <w:ilvl w:val="1"/>
          <w:numId w:val="2"/>
        </w:numPr>
        <w:shd w:val="clear" w:color="auto" w:fill="FFFFFF"/>
        <w:autoSpaceDE/>
        <w:autoSpaceDN/>
        <w:ind w:right="-180"/>
        <w:rPr>
          <w:rFonts w:asciiTheme="minorHAnsi" w:eastAsia="Times New Roman" w:hAnsiTheme="minorHAnsi" w:cstheme="minorHAnsi"/>
          <w:color w:val="0F0F0F"/>
          <w:sz w:val="24"/>
          <w:szCs w:val="24"/>
        </w:rPr>
      </w:pPr>
      <w:r>
        <w:rPr>
          <w:color w:val="0F0F0F"/>
          <w:sz w:val="24"/>
          <w:szCs w:val="24"/>
          <w:bdr w:val="nil"/>
          <w:lang w:val="es-ES_tradnl"/>
        </w:rPr>
        <w:t>La prueba de COVID-19 y la consulta correspondiente con el proveedor. Usted no paga ningún gasto de su propio bolsillo.</w:t>
      </w:r>
    </w:p>
    <w:p w14:paraId="5A85487D" w14:textId="77777777" w:rsidR="00B32CF3" w:rsidRPr="007A1620" w:rsidRDefault="007A1620" w:rsidP="00F51005">
      <w:pPr>
        <w:widowControl/>
        <w:numPr>
          <w:ilvl w:val="1"/>
          <w:numId w:val="2"/>
        </w:numPr>
        <w:shd w:val="clear" w:color="auto" w:fill="FFFFFF"/>
        <w:autoSpaceDE/>
        <w:autoSpaceDN/>
        <w:rPr>
          <w:rFonts w:asciiTheme="minorHAnsi" w:hAnsiTheme="minorHAnsi" w:cstheme="minorHAnsi"/>
          <w:sz w:val="24"/>
          <w:szCs w:val="24"/>
          <w:lang w:val="es-US"/>
        </w:rPr>
      </w:pPr>
      <w:r>
        <w:rPr>
          <w:sz w:val="24"/>
          <w:szCs w:val="24"/>
          <w:bdr w:val="nil"/>
          <w:lang w:val="es-ES_tradnl"/>
        </w:rPr>
        <w:t xml:space="preserve">La administración de la vacuna contra el </w:t>
      </w:r>
      <w:r>
        <w:rPr>
          <w:sz w:val="24"/>
          <w:szCs w:val="24"/>
          <w:bdr w:val="nil"/>
          <w:lang w:val="es-ES_tradnl"/>
        </w:rPr>
        <w:t xml:space="preserve">COVID-19. (El gobierno federal paga la vacuna en sí). </w:t>
      </w:r>
    </w:p>
    <w:p w14:paraId="5A85487E" w14:textId="77777777" w:rsidR="00972304" w:rsidRPr="00FB6810" w:rsidRDefault="007A1620" w:rsidP="00F51005">
      <w:pPr>
        <w:widowControl/>
        <w:numPr>
          <w:ilvl w:val="0"/>
          <w:numId w:val="2"/>
        </w:numPr>
        <w:shd w:val="clear" w:color="auto" w:fill="FFFFFF"/>
        <w:autoSpaceDE/>
        <w:autoSpaceDN/>
        <w:rPr>
          <w:rFonts w:asciiTheme="minorHAnsi" w:hAnsiTheme="minorHAnsi" w:cstheme="minorHAnsi"/>
          <w:color w:val="0F0F0F"/>
          <w:sz w:val="24"/>
          <w:szCs w:val="24"/>
        </w:rPr>
      </w:pPr>
      <w:r>
        <w:rPr>
          <w:color w:val="0F0F0F"/>
          <w:sz w:val="24"/>
          <w:szCs w:val="24"/>
          <w:bdr w:val="nil"/>
          <w:lang w:val="es-ES_tradnl"/>
        </w:rPr>
        <w:t xml:space="preserve">La Parte A cubre: </w:t>
      </w:r>
    </w:p>
    <w:p w14:paraId="5A85487F" w14:textId="77777777" w:rsidR="004C1C5D" w:rsidRPr="007A1620" w:rsidRDefault="007A1620" w:rsidP="00F51005">
      <w:pPr>
        <w:widowControl/>
        <w:numPr>
          <w:ilvl w:val="1"/>
          <w:numId w:val="2"/>
        </w:numPr>
        <w:shd w:val="clear" w:color="auto" w:fill="FFFFFF"/>
        <w:autoSpaceDE/>
        <w:autoSpaceDN/>
        <w:ind w:right="-90"/>
        <w:rPr>
          <w:rFonts w:asciiTheme="minorHAnsi" w:hAnsiTheme="minorHAnsi" w:cstheme="minorHAnsi"/>
          <w:color w:val="0F0F0F"/>
          <w:sz w:val="24"/>
          <w:szCs w:val="24"/>
          <w:lang w:val="es-US"/>
        </w:rPr>
      </w:pPr>
      <w:r>
        <w:rPr>
          <w:color w:val="0F0F0F"/>
          <w:sz w:val="24"/>
          <w:szCs w:val="24"/>
          <w:bdr w:val="nil"/>
          <w:lang w:val="es-ES_tradnl"/>
        </w:rPr>
        <w:t>Todas las hospitalizacio</w:t>
      </w:r>
      <w:r>
        <w:rPr>
          <w:color w:val="0F0F0F"/>
          <w:sz w:val="24"/>
          <w:szCs w:val="24"/>
          <w:bdr w:val="nil"/>
          <w:lang w:val="es-ES_tradnl"/>
        </w:rPr>
        <w:t>nes necesarias por razones médicas que estén relacionadas con el COVID-19. Lo anterior incluye si lo/a iban a dar de alta del hospital después de una estancia como paciente internado, pero ahora necesita quedarse en el hospital bajo cuarentena debido a que</w:t>
      </w:r>
      <w:r>
        <w:rPr>
          <w:color w:val="0F0F0F"/>
          <w:sz w:val="24"/>
          <w:szCs w:val="24"/>
          <w:bdr w:val="nil"/>
          <w:lang w:val="es-ES_tradnl"/>
        </w:rPr>
        <w:t xml:space="preserve"> le diagnosticaron COVID-19. Las reglas sobre la cobertura estándar y los costos compartidos aplican.</w:t>
      </w:r>
    </w:p>
    <w:p w14:paraId="5A854880" w14:textId="77777777" w:rsidR="0078242F" w:rsidRPr="007A1620" w:rsidRDefault="007A1620" w:rsidP="00F51005">
      <w:pPr>
        <w:widowControl/>
        <w:numPr>
          <w:ilvl w:val="1"/>
          <w:numId w:val="2"/>
        </w:numPr>
        <w:shd w:val="clear" w:color="auto" w:fill="FFFFFF"/>
        <w:autoSpaceDE/>
        <w:autoSpaceDN/>
        <w:rPr>
          <w:rFonts w:asciiTheme="minorHAnsi" w:hAnsiTheme="minorHAnsi" w:cstheme="minorHAnsi"/>
          <w:color w:val="0F0F0F"/>
          <w:sz w:val="24"/>
          <w:szCs w:val="24"/>
          <w:lang w:val="es-US"/>
        </w:rPr>
      </w:pPr>
      <w:r>
        <w:rPr>
          <w:color w:val="0F0F0F"/>
          <w:sz w:val="24"/>
          <w:szCs w:val="24"/>
          <w:bdr w:val="nil"/>
          <w:lang w:val="es-ES_tradnl"/>
        </w:rPr>
        <w:t>Medicare tampoco cobrará la estancia hospitalaria de tres días previa antes</w:t>
      </w:r>
      <w:r>
        <w:rPr>
          <w:color w:val="0F0F0F"/>
          <w:sz w:val="24"/>
          <w:szCs w:val="24"/>
          <w:bdr w:val="nil"/>
          <w:lang w:val="es-ES_tradnl"/>
        </w:rPr>
        <w:t xml:space="preserve"> de ingresar a un centro de enfermería especializada durante la emergencia del COVID-19.</w:t>
      </w:r>
    </w:p>
    <w:p w14:paraId="5A854881" w14:textId="77777777" w:rsidR="00F84256" w:rsidRPr="00FB6810" w:rsidRDefault="007A1620" w:rsidP="00F51005">
      <w:pPr>
        <w:widowControl/>
        <w:numPr>
          <w:ilvl w:val="0"/>
          <w:numId w:val="2"/>
        </w:numPr>
        <w:shd w:val="clear" w:color="auto" w:fill="FFFFFF"/>
        <w:autoSpaceDE/>
        <w:autoSpaceDN/>
        <w:rPr>
          <w:rFonts w:asciiTheme="minorHAnsi" w:hAnsiTheme="minorHAnsi" w:cstheme="minorHAnsi"/>
          <w:sz w:val="24"/>
          <w:szCs w:val="24"/>
        </w:rPr>
      </w:pPr>
      <w:r>
        <w:rPr>
          <w:sz w:val="24"/>
          <w:szCs w:val="24"/>
          <w:bdr w:val="nil"/>
          <w:lang w:val="es-ES_tradnl"/>
        </w:rPr>
        <w:t>La Parte D cubre:</w:t>
      </w:r>
    </w:p>
    <w:p w14:paraId="5A854882" w14:textId="77777777" w:rsidR="00F84256" w:rsidRPr="007A1620" w:rsidRDefault="007A1620" w:rsidP="00F51005">
      <w:pPr>
        <w:widowControl/>
        <w:numPr>
          <w:ilvl w:val="1"/>
          <w:numId w:val="2"/>
        </w:numPr>
        <w:shd w:val="clear" w:color="auto" w:fill="FFFFFF"/>
        <w:autoSpaceDE/>
        <w:autoSpaceDN/>
        <w:rPr>
          <w:rFonts w:asciiTheme="minorHAnsi" w:hAnsiTheme="minorHAnsi" w:cstheme="minorHAnsi"/>
          <w:sz w:val="24"/>
          <w:szCs w:val="24"/>
          <w:lang w:val="es-US"/>
        </w:rPr>
      </w:pPr>
      <w:r>
        <w:rPr>
          <w:sz w:val="24"/>
          <w:szCs w:val="24"/>
          <w:bdr w:val="nil"/>
          <w:lang w:val="es-ES_tradnl"/>
        </w:rPr>
        <w:t>Los medicamentos recetados utilizados para tratar el COVID-19.</w:t>
      </w:r>
    </w:p>
    <w:p w14:paraId="5A854883" w14:textId="77777777" w:rsidR="004C1C5D"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 xml:space="preserve">Si usted tiene un Plan Medicare Advantage, tiene acceso a estos mismos beneficios. </w:t>
      </w:r>
    </w:p>
    <w:p w14:paraId="5A854884" w14:textId="77777777" w:rsidR="00577890" w:rsidRPr="007A1620" w:rsidRDefault="00577890" w:rsidP="00F51005">
      <w:pPr>
        <w:pStyle w:val="Heading3"/>
        <w:spacing w:line="317" w:lineRule="exact"/>
        <w:ind w:left="450"/>
        <w:rPr>
          <w:sz w:val="24"/>
          <w:szCs w:val="24"/>
          <w:lang w:val="es-US"/>
        </w:rPr>
      </w:pPr>
    </w:p>
    <w:p w14:paraId="5A854885" w14:textId="77777777" w:rsidR="00F47439" w:rsidRPr="007A1620" w:rsidRDefault="007A1620" w:rsidP="00F51005">
      <w:pPr>
        <w:pStyle w:val="Heading3"/>
        <w:spacing w:line="317" w:lineRule="exact"/>
        <w:ind w:left="450"/>
        <w:rPr>
          <w:sz w:val="24"/>
          <w:szCs w:val="24"/>
          <w:lang w:val="es-US"/>
        </w:rPr>
      </w:pPr>
      <w:r>
        <w:rPr>
          <w:sz w:val="24"/>
          <w:szCs w:val="24"/>
          <w:bdr w:val="nil"/>
          <w:lang w:val="es-ES_tradnl"/>
        </w:rPr>
        <w:t>P.</w:t>
      </w:r>
      <w:r>
        <w:rPr>
          <w:sz w:val="24"/>
          <w:szCs w:val="24"/>
          <w:bdr w:val="nil"/>
          <w:lang w:val="es-ES_tradnl"/>
        </w:rPr>
        <w:tab/>
        <w:t>¿Qué debo hacer si sospecho que alguien está tratando de venderme un kit de prueba, una cura, una vacuna o una tarjeta de vacunación falsa?</w:t>
      </w:r>
    </w:p>
    <w:p w14:paraId="5A854886" w14:textId="77777777" w:rsidR="00F47439" w:rsidRPr="007A1620" w:rsidRDefault="007A1620" w:rsidP="00F51005">
      <w:pPr>
        <w:pStyle w:val="BodyText"/>
        <w:ind w:left="460" w:right="137" w:hanging="360"/>
        <w:rPr>
          <w:b/>
          <w:bCs/>
          <w:sz w:val="24"/>
          <w:szCs w:val="24"/>
          <w:lang w:val="es-US"/>
        </w:rPr>
      </w:pPr>
      <w:r>
        <w:rPr>
          <w:b/>
          <w:bCs/>
          <w:sz w:val="24"/>
          <w:szCs w:val="24"/>
          <w:bdr w:val="nil"/>
          <w:lang w:val="es-ES_tradnl"/>
        </w:rPr>
        <w:t xml:space="preserve">R. </w:t>
      </w:r>
      <w:r>
        <w:rPr>
          <w:b/>
          <w:bCs/>
          <w:sz w:val="24"/>
          <w:szCs w:val="24"/>
          <w:bdr w:val="nil"/>
          <w:lang w:val="es-ES_tradnl"/>
        </w:rPr>
        <w:tab/>
      </w:r>
      <w:r>
        <w:rPr>
          <w:sz w:val="24"/>
          <w:szCs w:val="24"/>
          <w:bdr w:val="nil"/>
          <w:lang w:val="es-ES_tradnl"/>
        </w:rPr>
        <w:t xml:space="preserve">Repórtelo a su Patrulla de Medicare para Adultos Mayores (SMP) local en </w:t>
      </w:r>
      <w:hyperlink r:id="rId10" w:history="1">
        <w:r>
          <w:rPr>
            <w:color w:val="0000FF"/>
            <w:sz w:val="24"/>
            <w:szCs w:val="24"/>
            <w:u w:val="single"/>
            <w:bdr w:val="nil"/>
            <w:lang w:val="es-ES_tradnl"/>
          </w:rPr>
          <w:t>www.smpresource.org</w:t>
        </w:r>
      </w:hyperlink>
      <w:r>
        <w:rPr>
          <w:sz w:val="24"/>
          <w:szCs w:val="24"/>
          <w:bdr w:val="nil"/>
          <w:lang w:val="es-ES_tradnl"/>
        </w:rPr>
        <w:t xml:space="preserve"> o llamando al 1-877-808-2468. Las SMP pueden ayudarle co</w:t>
      </w:r>
      <w:r>
        <w:rPr>
          <w:sz w:val="24"/>
          <w:szCs w:val="24"/>
          <w:bdr w:val="nil"/>
          <w:lang w:val="es-ES_tradnl"/>
        </w:rPr>
        <w:t>n sus preguntas, inquietudes o quejas relacionadas con posibles instancias de fraude y abuso.</w:t>
      </w:r>
    </w:p>
    <w:p w14:paraId="5A854887" w14:textId="77777777" w:rsidR="001F0A02" w:rsidRPr="007A1620" w:rsidRDefault="001F0A02" w:rsidP="00F51005">
      <w:pPr>
        <w:pStyle w:val="Heading3"/>
        <w:spacing w:line="317" w:lineRule="exact"/>
        <w:ind w:left="450"/>
        <w:rPr>
          <w:sz w:val="24"/>
          <w:szCs w:val="24"/>
          <w:lang w:val="es-US"/>
        </w:rPr>
      </w:pPr>
    </w:p>
    <w:p w14:paraId="5A854888" w14:textId="77777777" w:rsidR="001F0A02" w:rsidRPr="007A1620" w:rsidRDefault="007A1620" w:rsidP="00F51005">
      <w:pPr>
        <w:pStyle w:val="Heading3"/>
        <w:spacing w:line="317" w:lineRule="exact"/>
        <w:ind w:left="450"/>
        <w:rPr>
          <w:sz w:val="24"/>
          <w:szCs w:val="24"/>
          <w:lang w:val="es-US"/>
        </w:rPr>
      </w:pPr>
      <w:r>
        <w:rPr>
          <w:sz w:val="24"/>
          <w:szCs w:val="24"/>
          <w:bdr w:val="nil"/>
          <w:lang w:val="es-ES_tradnl"/>
        </w:rPr>
        <w:t>P.</w:t>
      </w:r>
      <w:r>
        <w:rPr>
          <w:sz w:val="24"/>
          <w:szCs w:val="24"/>
          <w:bdr w:val="nil"/>
          <w:lang w:val="es-ES_tradnl"/>
        </w:rPr>
        <w:tab/>
        <w:t>¿Cómo puedo mantenerme al tanto de lo que está ocurriendo con la pandemia?</w:t>
      </w:r>
    </w:p>
    <w:p w14:paraId="5A854889" w14:textId="77777777" w:rsidR="001F0A02" w:rsidRPr="007A1620" w:rsidRDefault="007A1620" w:rsidP="00F51005">
      <w:pPr>
        <w:pStyle w:val="Heading3"/>
        <w:tabs>
          <w:tab w:val="left" w:pos="1080"/>
        </w:tabs>
        <w:spacing w:line="317" w:lineRule="exact"/>
        <w:ind w:left="720" w:hanging="630"/>
        <w:rPr>
          <w:b w:val="0"/>
          <w:bCs w:val="0"/>
          <w:sz w:val="24"/>
          <w:szCs w:val="24"/>
          <w:lang w:val="es-US"/>
        </w:rPr>
      </w:pPr>
      <w:r>
        <w:rPr>
          <w:sz w:val="24"/>
          <w:szCs w:val="24"/>
          <w:bdr w:val="nil"/>
          <w:lang w:val="es-ES_tradnl"/>
        </w:rPr>
        <w:t xml:space="preserve">R. </w:t>
      </w:r>
      <w:r>
        <w:rPr>
          <w:sz w:val="24"/>
          <w:szCs w:val="24"/>
          <w:bdr w:val="nil"/>
          <w:lang w:val="es-ES_tradnl"/>
        </w:rPr>
        <w:tab/>
      </w:r>
      <w:r>
        <w:rPr>
          <w:rFonts w:ascii="Wingdings" w:eastAsia="Wingdings" w:hAnsi="Wingdings" w:cs="Wingdings"/>
          <w:sz w:val="24"/>
          <w:szCs w:val="24"/>
          <w:bdr w:val="nil"/>
          <w:lang w:val="es-ES_tradnl"/>
        </w:rPr>
        <w:sym w:font="Wingdings" w:char="F09F"/>
      </w:r>
      <w:r>
        <w:rPr>
          <w:b w:val="0"/>
          <w:bCs w:val="0"/>
          <w:sz w:val="24"/>
          <w:szCs w:val="24"/>
          <w:bdr w:val="nil"/>
          <w:lang w:val="es-ES_tradnl"/>
        </w:rPr>
        <w:tab/>
      </w:r>
      <w:hyperlink r:id="rId11" w:history="1">
        <w:r>
          <w:rPr>
            <w:b w:val="0"/>
            <w:bCs w:val="0"/>
            <w:color w:val="0000FF"/>
            <w:sz w:val="24"/>
            <w:szCs w:val="24"/>
            <w:u w:val="single"/>
            <w:bdr w:val="nil"/>
            <w:lang w:val="es-ES_tradnl"/>
          </w:rPr>
          <w:t>Coronavirus.gov</w:t>
        </w:r>
      </w:hyperlink>
      <w:r>
        <w:rPr>
          <w:b w:val="0"/>
          <w:bCs w:val="0"/>
          <w:sz w:val="24"/>
          <w:szCs w:val="24"/>
          <w:bdr w:val="nil"/>
          <w:lang w:val="es-ES_tradnl"/>
        </w:rPr>
        <w:t xml:space="preserve"> es la fuente de información más reciente sobre la p</w:t>
      </w:r>
      <w:r>
        <w:rPr>
          <w:b w:val="0"/>
          <w:bCs w:val="0"/>
          <w:sz w:val="24"/>
          <w:szCs w:val="24"/>
          <w:bdr w:val="nil"/>
          <w:lang w:val="es-ES_tradnl"/>
        </w:rPr>
        <w:t xml:space="preserve">revención, </w:t>
      </w:r>
    </w:p>
    <w:p w14:paraId="5A85488A" w14:textId="77777777" w:rsidR="005E587E" w:rsidRPr="007A1620" w:rsidRDefault="007A1620" w:rsidP="00F51005">
      <w:pPr>
        <w:pStyle w:val="Heading3"/>
        <w:tabs>
          <w:tab w:val="left" w:pos="1080"/>
        </w:tabs>
        <w:spacing w:line="317" w:lineRule="exact"/>
        <w:ind w:left="720" w:hanging="630"/>
        <w:rPr>
          <w:b w:val="0"/>
          <w:bCs w:val="0"/>
          <w:sz w:val="24"/>
          <w:szCs w:val="24"/>
          <w:lang w:val="es-US"/>
        </w:rPr>
      </w:pPr>
      <w:r>
        <w:rPr>
          <w:sz w:val="24"/>
          <w:szCs w:val="24"/>
          <w:bdr w:val="nil"/>
          <w:lang w:val="es-ES_tradnl"/>
        </w:rPr>
        <w:tab/>
      </w:r>
      <w:r>
        <w:rPr>
          <w:sz w:val="24"/>
          <w:szCs w:val="24"/>
          <w:bdr w:val="nil"/>
          <w:lang w:val="es-ES_tradnl"/>
        </w:rPr>
        <w:tab/>
      </w:r>
      <w:r>
        <w:rPr>
          <w:b w:val="0"/>
          <w:bCs w:val="0"/>
          <w:sz w:val="24"/>
          <w:szCs w:val="24"/>
          <w:bdr w:val="nil"/>
          <w:lang w:val="es-ES_tradnl"/>
        </w:rPr>
        <w:t>los síntomas y las respuestas a las preguntas más comunes relacionadas con el COVID-</w:t>
      </w:r>
      <w:r>
        <w:rPr>
          <w:b w:val="0"/>
          <w:bCs w:val="0"/>
          <w:sz w:val="24"/>
          <w:szCs w:val="24"/>
          <w:bdr w:val="nil"/>
          <w:lang w:val="es-ES_tradnl"/>
        </w:rPr>
        <w:t>19.</w:t>
      </w:r>
    </w:p>
    <w:p w14:paraId="5A85488B" w14:textId="77777777" w:rsidR="001F0A02" w:rsidRPr="007A1620" w:rsidRDefault="007A1620" w:rsidP="00F51005">
      <w:pPr>
        <w:widowControl/>
        <w:numPr>
          <w:ilvl w:val="0"/>
          <w:numId w:val="2"/>
        </w:numPr>
        <w:shd w:val="clear" w:color="auto" w:fill="FFFFFF"/>
        <w:autoSpaceDE/>
        <w:autoSpaceDN/>
        <w:rPr>
          <w:rFonts w:asciiTheme="minorHAnsi" w:hAnsiTheme="minorHAnsi" w:cstheme="minorHAnsi"/>
          <w:color w:val="0F0F0F"/>
          <w:sz w:val="24"/>
          <w:szCs w:val="24"/>
          <w:lang w:val="es-US"/>
        </w:rPr>
      </w:pPr>
      <w:hyperlink r:id="rId12" w:history="1">
        <w:r>
          <w:rPr>
            <w:color w:val="0000FF"/>
            <w:sz w:val="24"/>
            <w:szCs w:val="24"/>
            <w:u w:val="single"/>
            <w:bdr w:val="nil"/>
            <w:lang w:val="es-ES_tradnl"/>
          </w:rPr>
          <w:t>ACL.gov/COVID-19</w:t>
        </w:r>
      </w:hyperlink>
      <w:r>
        <w:rPr>
          <w:color w:val="0F0F0F"/>
          <w:sz w:val="24"/>
          <w:szCs w:val="24"/>
          <w:bdr w:val="nil"/>
          <w:lang w:val="es-ES_tradnl"/>
        </w:rPr>
        <w:t xml:space="preserve"> es la fuente de información sobre lo</w:t>
      </w:r>
      <w:r>
        <w:rPr>
          <w:color w:val="0F0F0F"/>
          <w:sz w:val="24"/>
          <w:szCs w:val="24"/>
          <w:bdr w:val="nil"/>
          <w:lang w:val="es-ES_tradnl"/>
        </w:rPr>
        <w:t xml:space="preserve"> que los adultos mayores y las personas con discapacidades necesitan saber sobre el COVID-19. </w:t>
      </w:r>
    </w:p>
    <w:p w14:paraId="5A85488C" w14:textId="77777777" w:rsidR="001F0A02" w:rsidRPr="007A1620" w:rsidRDefault="007A1620" w:rsidP="00F51005">
      <w:pPr>
        <w:widowControl/>
        <w:numPr>
          <w:ilvl w:val="0"/>
          <w:numId w:val="2"/>
        </w:numPr>
        <w:shd w:val="clear" w:color="auto" w:fill="FFFFFF"/>
        <w:autoSpaceDE/>
        <w:autoSpaceDN/>
        <w:rPr>
          <w:sz w:val="24"/>
          <w:szCs w:val="24"/>
          <w:lang w:val="es-US"/>
        </w:rPr>
      </w:pPr>
      <w:hyperlink r:id="rId13" w:history="1">
        <w:r>
          <w:rPr>
            <w:color w:val="0000FF"/>
            <w:sz w:val="24"/>
            <w:szCs w:val="24"/>
            <w:u w:val="single"/>
            <w:bdr w:val="nil"/>
            <w:lang w:val="es-ES_tradnl"/>
          </w:rPr>
          <w:t>CDC.gov/coronavirus</w:t>
        </w:r>
      </w:hyperlink>
      <w:r>
        <w:rPr>
          <w:sz w:val="24"/>
          <w:szCs w:val="24"/>
          <w:bdr w:val="nil"/>
          <w:lang w:val="es-ES_tradnl"/>
        </w:rPr>
        <w:t xml:space="preserve"> tiene la información más reciente de salud y seguridad pública de los Centros para el Control y la Prev</w:t>
      </w:r>
      <w:r>
        <w:rPr>
          <w:sz w:val="24"/>
          <w:szCs w:val="24"/>
          <w:bdr w:val="nil"/>
          <w:lang w:val="es-ES_tradnl"/>
        </w:rPr>
        <w:t>ención de Enfermedades (CDC, por sus siglas en inglés) para la comunidad médica y de proveedores de salud en general sobre el COVID-19.</w:t>
      </w:r>
    </w:p>
    <w:p w14:paraId="5A85488D" w14:textId="77777777" w:rsidR="001F0A02" w:rsidRPr="007A1620" w:rsidRDefault="007A1620" w:rsidP="00F51005">
      <w:pPr>
        <w:widowControl/>
        <w:numPr>
          <w:ilvl w:val="0"/>
          <w:numId w:val="2"/>
        </w:numPr>
        <w:shd w:val="clear" w:color="auto" w:fill="FFFFFF"/>
        <w:autoSpaceDE/>
        <w:autoSpaceDN/>
        <w:rPr>
          <w:sz w:val="24"/>
          <w:szCs w:val="24"/>
          <w:lang w:val="es-US"/>
        </w:rPr>
      </w:pPr>
      <w:hyperlink r:id="rId14" w:tooltip="U.S. Government's response to Coronavirus" w:history="1">
        <w:r>
          <w:rPr>
            <w:color w:val="0000FF"/>
            <w:sz w:val="24"/>
            <w:szCs w:val="24"/>
            <w:u w:val="single"/>
            <w:bdr w:val="nil"/>
            <w:lang w:val="es-ES_tradnl"/>
          </w:rPr>
          <w:t>USA.gov</w:t>
        </w:r>
      </w:hyperlink>
      <w:r>
        <w:rPr>
          <w:sz w:val="24"/>
          <w:szCs w:val="24"/>
          <w:bdr w:val="nil"/>
          <w:lang w:val="es-ES_tradnl"/>
        </w:rPr>
        <w:t xml:space="preserve"> tiene la información más reciente sobre lo que el gobierno estadounidense está haciendo en respuesta al COVID-19. </w:t>
      </w:r>
    </w:p>
    <w:p w14:paraId="5A85488E" w14:textId="77777777" w:rsidR="001F0A02" w:rsidRPr="007A1620" w:rsidRDefault="001F0A02" w:rsidP="00F51005">
      <w:pPr>
        <w:widowControl/>
        <w:shd w:val="clear" w:color="auto" w:fill="FFFFFF"/>
        <w:autoSpaceDE/>
        <w:autoSpaceDN/>
        <w:rPr>
          <w:sz w:val="24"/>
          <w:szCs w:val="24"/>
          <w:lang w:val="es-US"/>
        </w:rPr>
      </w:pPr>
    </w:p>
    <w:p w14:paraId="5A85488F" w14:textId="77777777" w:rsidR="0044452F" w:rsidRPr="00FB6810" w:rsidRDefault="007A1620" w:rsidP="00F51005">
      <w:pPr>
        <w:pStyle w:val="Heading1"/>
        <w:ind w:left="0"/>
        <w:rPr>
          <w:sz w:val="36"/>
          <w:szCs w:val="36"/>
        </w:rPr>
      </w:pPr>
      <w:r>
        <w:rPr>
          <w:color w:val="002868"/>
          <w:sz w:val="36"/>
          <w:szCs w:val="36"/>
          <w:bdr w:val="nil"/>
          <w:lang w:val="es-ES_tradnl"/>
        </w:rPr>
        <w:t>Recursos disponibles</w:t>
      </w:r>
    </w:p>
    <w:p w14:paraId="5A854890" w14:textId="77777777" w:rsidR="00F96F51" w:rsidRPr="007A1620" w:rsidRDefault="007A1620" w:rsidP="00F51005">
      <w:pPr>
        <w:widowControl/>
        <w:numPr>
          <w:ilvl w:val="0"/>
          <w:numId w:val="2"/>
        </w:numPr>
        <w:shd w:val="clear" w:color="auto" w:fill="FFFFFF"/>
        <w:autoSpaceDE/>
        <w:autoSpaceDN/>
        <w:rPr>
          <w:sz w:val="24"/>
          <w:szCs w:val="24"/>
          <w:lang w:val="es-US"/>
        </w:rPr>
      </w:pPr>
      <w:r>
        <w:rPr>
          <w:color w:val="0F0F0F"/>
          <w:sz w:val="24"/>
          <w:szCs w:val="24"/>
          <w:bdr w:val="nil"/>
          <w:lang w:val="es-ES_tradnl"/>
        </w:rPr>
        <w:t>Recursos sobre los fraudes relacionados con el COVID</w:t>
      </w:r>
      <w:r>
        <w:rPr>
          <w:sz w:val="24"/>
          <w:szCs w:val="24"/>
          <w:bdr w:val="nil"/>
          <w:lang w:val="es-ES_tradnl"/>
        </w:rPr>
        <w:t xml:space="preserve">-19 en el sitio web del Centro Nacional de Recursos de la SMP: </w:t>
      </w:r>
      <w:hyperlink r:id="rId15" w:history="1">
        <w:r>
          <w:rPr>
            <w:color w:val="0000FF"/>
            <w:sz w:val="24"/>
            <w:szCs w:val="24"/>
            <w:u w:val="single"/>
            <w:bdr w:val="nil"/>
            <w:lang w:val="es-ES_tradnl"/>
          </w:rPr>
          <w:t>smpresource.org/Content/Medicare-Fraud/Fraud-Schemes/COVID-19-Fraud.aspx</w:t>
        </w:r>
      </w:hyperlink>
      <w:r>
        <w:rPr>
          <w:sz w:val="24"/>
          <w:szCs w:val="24"/>
          <w:bdr w:val="nil"/>
          <w:lang w:val="es-ES_tradnl"/>
        </w:rPr>
        <w:t xml:space="preserve"> </w:t>
      </w:r>
    </w:p>
    <w:p w14:paraId="5A854891" w14:textId="77777777" w:rsidR="0044452F"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 xml:space="preserve">Oficina del Inspector General (OIG, por sus siglas en inglés): </w:t>
      </w:r>
      <w:hyperlink r:id="rId16" w:history="1">
        <w:r>
          <w:rPr>
            <w:color w:val="0000FF"/>
            <w:sz w:val="24"/>
            <w:szCs w:val="24"/>
            <w:u w:val="single"/>
            <w:bdr w:val="nil"/>
            <w:lang w:val="es-ES_tradnl"/>
          </w:rPr>
          <w:t>oig.hhs.gov/coronavirus</w:t>
        </w:r>
      </w:hyperlink>
      <w:r>
        <w:rPr>
          <w:sz w:val="24"/>
          <w:szCs w:val="24"/>
          <w:bdr w:val="nil"/>
          <w:lang w:val="es-ES_tradnl"/>
        </w:rPr>
        <w:t xml:space="preserve">   </w:t>
      </w:r>
    </w:p>
    <w:p w14:paraId="5A854892" w14:textId="77777777" w:rsidR="00174370" w:rsidRPr="00FB6810" w:rsidRDefault="007A1620" w:rsidP="00F51005">
      <w:pPr>
        <w:widowControl/>
        <w:numPr>
          <w:ilvl w:val="0"/>
          <w:numId w:val="2"/>
        </w:numPr>
        <w:shd w:val="clear" w:color="auto" w:fill="FFFFFF"/>
        <w:autoSpaceDE/>
        <w:autoSpaceDN/>
        <w:rPr>
          <w:rStyle w:val="Hyperlink"/>
          <w:color w:val="auto"/>
          <w:sz w:val="24"/>
          <w:szCs w:val="24"/>
          <w:u w:val="none"/>
        </w:rPr>
      </w:pPr>
      <w:r>
        <w:rPr>
          <w:sz w:val="24"/>
          <w:szCs w:val="24"/>
          <w:bdr w:val="nil"/>
          <w:lang w:val="es-ES_tradnl"/>
        </w:rPr>
        <w:t>Medicare</w:t>
      </w:r>
      <w:r>
        <w:rPr>
          <w:color w:val="0F0F0F"/>
          <w:sz w:val="24"/>
          <w:szCs w:val="24"/>
          <w:bdr w:val="nil"/>
          <w:lang w:val="es-ES_tradnl"/>
        </w:rPr>
        <w:t xml:space="preserve">: </w:t>
      </w:r>
      <w:hyperlink r:id="rId17" w:history="1">
        <w:r>
          <w:rPr>
            <w:color w:val="0000FF"/>
            <w:sz w:val="24"/>
            <w:szCs w:val="24"/>
            <w:u w:val="single"/>
            <w:bdr w:val="nil"/>
            <w:lang w:val="es-ES_tradnl"/>
          </w:rPr>
          <w:t>medicare.gov/medicare-coronavirus</w:t>
        </w:r>
      </w:hyperlink>
    </w:p>
    <w:p w14:paraId="5A854893" w14:textId="77777777" w:rsidR="00174370" w:rsidRPr="007A1620" w:rsidRDefault="007A1620" w:rsidP="00F51005">
      <w:pPr>
        <w:widowControl/>
        <w:numPr>
          <w:ilvl w:val="0"/>
          <w:numId w:val="2"/>
        </w:numPr>
        <w:shd w:val="clear" w:color="auto" w:fill="FFFFFF"/>
        <w:autoSpaceDE/>
        <w:autoSpaceDN/>
        <w:rPr>
          <w:sz w:val="24"/>
          <w:szCs w:val="24"/>
          <w:lang w:val="es-US"/>
        </w:rPr>
      </w:pPr>
      <w:r>
        <w:rPr>
          <w:sz w:val="24"/>
          <w:szCs w:val="24"/>
          <w:bdr w:val="nil"/>
          <w:lang w:val="es-ES_tradnl"/>
        </w:rPr>
        <w:t xml:space="preserve">Programa Estatal de Asistencia sobre Seguro Médico (SHIP, por sus siglas en inglés): </w:t>
      </w:r>
      <w:hyperlink r:id="rId18" w:history="1">
        <w:r>
          <w:rPr>
            <w:color w:val="0000FF"/>
            <w:sz w:val="24"/>
            <w:szCs w:val="24"/>
            <w:u w:val="single"/>
            <w:bdr w:val="nil"/>
            <w:lang w:val="es-ES_tradnl"/>
          </w:rPr>
          <w:t>shiphelp.org/covid-19</w:t>
        </w:r>
      </w:hyperlink>
      <w:r>
        <w:rPr>
          <w:bdr w:val="nil"/>
          <w:lang w:val="es-ES_tradnl"/>
        </w:rPr>
        <w:t xml:space="preserve"> </w:t>
      </w:r>
    </w:p>
    <w:p w14:paraId="5A854894" w14:textId="77777777" w:rsidR="0044452F" w:rsidRPr="007A1620" w:rsidRDefault="007A1620" w:rsidP="00F51005">
      <w:pPr>
        <w:widowControl/>
        <w:numPr>
          <w:ilvl w:val="0"/>
          <w:numId w:val="2"/>
        </w:numPr>
        <w:shd w:val="clear" w:color="auto" w:fill="FFFFFF"/>
        <w:autoSpaceDE/>
        <w:autoSpaceDN/>
        <w:rPr>
          <w:sz w:val="24"/>
          <w:szCs w:val="24"/>
          <w:lang w:val="es-US"/>
        </w:rPr>
      </w:pPr>
      <w:r w:rsidRPr="00FB6810">
        <w:rPr>
          <w:noProof/>
          <w:szCs w:val="20"/>
        </w:rPr>
        <mc:AlternateContent>
          <mc:Choice Requires="wps">
            <w:drawing>
              <wp:anchor distT="45720" distB="45720" distL="114300" distR="114300" simplePos="0" relativeHeight="251660288" behindDoc="0" locked="0" layoutInCell="1" allowOverlap="1" wp14:anchorId="5A854897" wp14:editId="343EEF23">
                <wp:simplePos x="0" y="0"/>
                <wp:positionH relativeFrom="column">
                  <wp:posOffset>-115570</wp:posOffset>
                </wp:positionH>
                <wp:positionV relativeFrom="paragraph">
                  <wp:posOffset>453390</wp:posOffset>
                </wp:positionV>
                <wp:extent cx="6113145" cy="1717167"/>
                <wp:effectExtent l="0" t="0" r="190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717167"/>
                        </a:xfrm>
                        <a:prstGeom prst="rect">
                          <a:avLst/>
                        </a:prstGeom>
                        <a:solidFill>
                          <a:srgbClr val="FFFFFF"/>
                        </a:solidFill>
                        <a:ln w="9525">
                          <a:noFill/>
                          <a:miter lim="800000"/>
                          <a:headEnd/>
                          <a:tailEnd/>
                        </a:ln>
                      </wps:spPr>
                      <wps:txbx>
                        <w:txbxContent>
                          <w:p w14:paraId="5A854899" w14:textId="77777777" w:rsidR="00F84256" w:rsidRPr="007A1620" w:rsidRDefault="007A1620" w:rsidP="00F84256">
                            <w:pPr>
                              <w:spacing w:before="52"/>
                              <w:ind w:left="-90" w:right="-90"/>
                              <w:jc w:val="center"/>
                              <w:rPr>
                                <w:szCs w:val="20"/>
                                <w:lang w:val="es-US"/>
                              </w:rPr>
                            </w:pPr>
                            <w:r>
                              <w:rPr>
                                <w:bdr w:val="nil"/>
                                <w:lang w:val="es-ES_tradnl"/>
                              </w:rPr>
                              <w:t>Este documento recibió apoyo parcial del número de subvención 90MPRC0001, de parte de la Administración de Vida Comunitaria (ACL, por sus siglas en inglés) del Departamento de Salud y Servicios Humanos, Washingto</w:t>
                            </w:r>
                            <w:r>
                              <w:rPr>
                                <w:bdr w:val="nil"/>
                                <w:lang w:val="es-ES_tradnl"/>
                              </w:rPr>
                              <w:t>n, D.C.</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54897" id="_x0000_t202" coordsize="21600,21600" o:spt="202" path="m,l,21600r21600,l21600,xe">
                <v:stroke joinstyle="miter"/>
                <v:path gradientshapeok="t" o:connecttype="rect"/>
              </v:shapetype>
              <v:shape id="Text Box 2" o:spid="_x0000_s1026" type="#_x0000_t202" style="position:absolute;left:0;text-align:left;margin-left:-9.1pt;margin-top:35.7pt;width:481.35pt;height:13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" stroked="f">
                <v:textbox style="mso-fit-shape-to-text:t">
                  <w:txbxContent>
                    <w:p w14:paraId="5A854899" w14:textId="77777777" w:rsidR="00F84256" w:rsidRPr="007A1620" w:rsidRDefault="007A1620" w:rsidP="00F84256">
                      <w:pPr>
                        <w:spacing w:before="52"/>
                        <w:ind w:left="-90" w:right="-90"/>
                        <w:jc w:val="center"/>
                        <w:rPr>
                          <w:szCs w:val="20"/>
                          <w:lang w:val="es-US"/>
                        </w:rPr>
                      </w:pPr>
                      <w:r>
                        <w:rPr>
                          <w:bdr w:val="nil"/>
                          <w:lang w:val="es-ES_tradnl"/>
                        </w:rPr>
                        <w:t>Este documento recibió apoyo parcial del número de subvención 90MPRC0001, de parte de la Administración de Vida Comunitaria (ACL, por sus siglas en inglés) del Departamento de Salud y Servicios Humanos, Washingto</w:t>
                      </w:r>
                      <w:r>
                        <w:rPr>
                          <w:bdr w:val="nil"/>
                          <w:lang w:val="es-ES_tradnl"/>
                        </w:rPr>
                        <w:t>n, D.C.</w:t>
                      </w:r>
                    </w:p>
                  </w:txbxContent>
                </v:textbox>
              </v:shape>
            </w:pict>
          </mc:Fallback>
        </mc:AlternateContent>
      </w:r>
      <w:r>
        <w:rPr>
          <w:sz w:val="24"/>
          <w:szCs w:val="24"/>
          <w:bdr w:val="nil"/>
          <w:lang w:val="es-ES_tradnl"/>
        </w:rPr>
        <w:t xml:space="preserve">Consejo Nacional sobre Envejecimiento (NCOA, por sus siglas en inglés): </w:t>
      </w:r>
      <w:hyperlink r:id="rId19" w:history="1">
        <w:r>
          <w:rPr>
            <w:color w:val="0000FF"/>
            <w:sz w:val="24"/>
            <w:szCs w:val="24"/>
            <w:u w:val="single"/>
            <w:bdr w:val="nil"/>
            <w:lang w:val="es-ES_tradnl"/>
          </w:rPr>
          <w:t>ncoa.org/covid-19-resources-for-older-adults/</w:t>
        </w:r>
      </w:hyperlink>
      <w:r>
        <w:rPr>
          <w:sz w:val="24"/>
          <w:szCs w:val="24"/>
          <w:bdr w:val="nil"/>
          <w:lang w:val="es-ES_tradnl"/>
        </w:rPr>
        <w:t xml:space="preserve"> </w:t>
      </w:r>
    </w:p>
    <w:sectPr w:rsidR="0044452F" w:rsidRPr="007A1620" w:rsidSect="00F51005">
      <w:pgSz w:w="12240" w:h="15840"/>
      <w:pgMar w:top="1296" w:right="1152" w:bottom="1008"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99B5C"/>
    <w:multiLevelType w:val="hybridMultilevel"/>
    <w:tmpl w:val="FADD20EF"/>
    <w:lvl w:ilvl="0" w:tplc="D090E29A">
      <w:start w:val="1"/>
      <w:numFmt w:val="bullet"/>
      <w:lvlText w:val="•"/>
      <w:lvlJc w:val="left"/>
    </w:lvl>
    <w:lvl w:ilvl="1" w:tplc="DF3E0372">
      <w:numFmt w:val="decimal"/>
      <w:lvlText w:val=""/>
      <w:lvlJc w:val="left"/>
    </w:lvl>
    <w:lvl w:ilvl="2" w:tplc="63DE9DBA">
      <w:numFmt w:val="decimal"/>
      <w:lvlText w:val=""/>
      <w:lvlJc w:val="left"/>
    </w:lvl>
    <w:lvl w:ilvl="3" w:tplc="93C227BA">
      <w:numFmt w:val="decimal"/>
      <w:lvlText w:val=""/>
      <w:lvlJc w:val="left"/>
    </w:lvl>
    <w:lvl w:ilvl="4" w:tplc="572A6AFA">
      <w:numFmt w:val="decimal"/>
      <w:lvlText w:val=""/>
      <w:lvlJc w:val="left"/>
    </w:lvl>
    <w:lvl w:ilvl="5" w:tplc="94DA0F16">
      <w:numFmt w:val="decimal"/>
      <w:lvlText w:val=""/>
      <w:lvlJc w:val="left"/>
    </w:lvl>
    <w:lvl w:ilvl="6" w:tplc="1F124F62">
      <w:numFmt w:val="decimal"/>
      <w:lvlText w:val=""/>
      <w:lvlJc w:val="left"/>
    </w:lvl>
    <w:lvl w:ilvl="7" w:tplc="F1C2435A">
      <w:numFmt w:val="decimal"/>
      <w:lvlText w:val=""/>
      <w:lvlJc w:val="left"/>
    </w:lvl>
    <w:lvl w:ilvl="8" w:tplc="2850054E">
      <w:numFmt w:val="decimal"/>
      <w:lvlText w:val=""/>
      <w:lvlJc w:val="left"/>
    </w:lvl>
  </w:abstractNum>
  <w:abstractNum w:abstractNumId="1" w15:restartNumberingAfterBreak="0">
    <w:nsid w:val="186E7417"/>
    <w:multiLevelType w:val="hybridMultilevel"/>
    <w:tmpl w:val="94949814"/>
    <w:lvl w:ilvl="0" w:tplc="462EC7A2">
      <w:start w:val="1"/>
      <w:numFmt w:val="decimal"/>
      <w:lvlText w:val="%1)"/>
      <w:lvlJc w:val="left"/>
      <w:pPr>
        <w:ind w:left="810" w:hanging="360"/>
      </w:pPr>
      <w:rPr>
        <w:rFonts w:hint="default"/>
      </w:rPr>
    </w:lvl>
    <w:lvl w:ilvl="1" w:tplc="36C20E3C" w:tentative="1">
      <w:start w:val="1"/>
      <w:numFmt w:val="lowerLetter"/>
      <w:lvlText w:val="%2."/>
      <w:lvlJc w:val="left"/>
      <w:pPr>
        <w:ind w:left="1530" w:hanging="360"/>
      </w:pPr>
    </w:lvl>
    <w:lvl w:ilvl="2" w:tplc="57A4B36C" w:tentative="1">
      <w:start w:val="1"/>
      <w:numFmt w:val="lowerRoman"/>
      <w:lvlText w:val="%3."/>
      <w:lvlJc w:val="right"/>
      <w:pPr>
        <w:ind w:left="2250" w:hanging="180"/>
      </w:pPr>
    </w:lvl>
    <w:lvl w:ilvl="3" w:tplc="AAE83142" w:tentative="1">
      <w:start w:val="1"/>
      <w:numFmt w:val="decimal"/>
      <w:lvlText w:val="%4."/>
      <w:lvlJc w:val="left"/>
      <w:pPr>
        <w:ind w:left="2970" w:hanging="360"/>
      </w:pPr>
    </w:lvl>
    <w:lvl w:ilvl="4" w:tplc="F9445D5A" w:tentative="1">
      <w:start w:val="1"/>
      <w:numFmt w:val="lowerLetter"/>
      <w:lvlText w:val="%5."/>
      <w:lvlJc w:val="left"/>
      <w:pPr>
        <w:ind w:left="3690" w:hanging="360"/>
      </w:pPr>
    </w:lvl>
    <w:lvl w:ilvl="5" w:tplc="CEC28B58" w:tentative="1">
      <w:start w:val="1"/>
      <w:numFmt w:val="lowerRoman"/>
      <w:lvlText w:val="%6."/>
      <w:lvlJc w:val="right"/>
      <w:pPr>
        <w:ind w:left="4410" w:hanging="180"/>
      </w:pPr>
    </w:lvl>
    <w:lvl w:ilvl="6" w:tplc="241EF054" w:tentative="1">
      <w:start w:val="1"/>
      <w:numFmt w:val="decimal"/>
      <w:lvlText w:val="%7."/>
      <w:lvlJc w:val="left"/>
      <w:pPr>
        <w:ind w:left="5130" w:hanging="360"/>
      </w:pPr>
    </w:lvl>
    <w:lvl w:ilvl="7" w:tplc="7EB6ADAE" w:tentative="1">
      <w:start w:val="1"/>
      <w:numFmt w:val="lowerLetter"/>
      <w:lvlText w:val="%8."/>
      <w:lvlJc w:val="left"/>
      <w:pPr>
        <w:ind w:left="5850" w:hanging="360"/>
      </w:pPr>
    </w:lvl>
    <w:lvl w:ilvl="8" w:tplc="8F60DFE2" w:tentative="1">
      <w:start w:val="1"/>
      <w:numFmt w:val="lowerRoman"/>
      <w:lvlText w:val="%9."/>
      <w:lvlJc w:val="right"/>
      <w:pPr>
        <w:ind w:left="6570" w:hanging="180"/>
      </w:pPr>
    </w:lvl>
  </w:abstractNum>
  <w:abstractNum w:abstractNumId="2" w15:restartNumberingAfterBreak="0">
    <w:nsid w:val="3458449A"/>
    <w:multiLevelType w:val="multilevel"/>
    <w:tmpl w:val="098EF0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65A2C"/>
    <w:multiLevelType w:val="hybridMultilevel"/>
    <w:tmpl w:val="21EA52D8"/>
    <w:lvl w:ilvl="0" w:tplc="1EBC902E">
      <w:start w:val="1"/>
      <w:numFmt w:val="decimal"/>
      <w:lvlText w:val="%1."/>
      <w:lvlJc w:val="left"/>
      <w:pPr>
        <w:ind w:left="1170" w:hanging="360"/>
      </w:pPr>
    </w:lvl>
    <w:lvl w:ilvl="1" w:tplc="C8EA3FBC" w:tentative="1">
      <w:start w:val="1"/>
      <w:numFmt w:val="lowerLetter"/>
      <w:lvlText w:val="%2."/>
      <w:lvlJc w:val="left"/>
      <w:pPr>
        <w:ind w:left="1890" w:hanging="360"/>
      </w:pPr>
    </w:lvl>
    <w:lvl w:ilvl="2" w:tplc="83942FFC" w:tentative="1">
      <w:start w:val="1"/>
      <w:numFmt w:val="lowerRoman"/>
      <w:lvlText w:val="%3."/>
      <w:lvlJc w:val="right"/>
      <w:pPr>
        <w:ind w:left="2610" w:hanging="180"/>
      </w:pPr>
    </w:lvl>
    <w:lvl w:ilvl="3" w:tplc="3A6247A0" w:tentative="1">
      <w:start w:val="1"/>
      <w:numFmt w:val="decimal"/>
      <w:lvlText w:val="%4."/>
      <w:lvlJc w:val="left"/>
      <w:pPr>
        <w:ind w:left="3330" w:hanging="360"/>
      </w:pPr>
    </w:lvl>
    <w:lvl w:ilvl="4" w:tplc="45207406" w:tentative="1">
      <w:start w:val="1"/>
      <w:numFmt w:val="lowerLetter"/>
      <w:lvlText w:val="%5."/>
      <w:lvlJc w:val="left"/>
      <w:pPr>
        <w:ind w:left="4050" w:hanging="360"/>
      </w:pPr>
    </w:lvl>
    <w:lvl w:ilvl="5" w:tplc="95625F22" w:tentative="1">
      <w:start w:val="1"/>
      <w:numFmt w:val="lowerRoman"/>
      <w:lvlText w:val="%6."/>
      <w:lvlJc w:val="right"/>
      <w:pPr>
        <w:ind w:left="4770" w:hanging="180"/>
      </w:pPr>
    </w:lvl>
    <w:lvl w:ilvl="6" w:tplc="1CC27E62" w:tentative="1">
      <w:start w:val="1"/>
      <w:numFmt w:val="decimal"/>
      <w:lvlText w:val="%7."/>
      <w:lvlJc w:val="left"/>
      <w:pPr>
        <w:ind w:left="5490" w:hanging="360"/>
      </w:pPr>
    </w:lvl>
    <w:lvl w:ilvl="7" w:tplc="F09E81D8" w:tentative="1">
      <w:start w:val="1"/>
      <w:numFmt w:val="lowerLetter"/>
      <w:lvlText w:val="%8."/>
      <w:lvlJc w:val="left"/>
      <w:pPr>
        <w:ind w:left="6210" w:hanging="360"/>
      </w:pPr>
    </w:lvl>
    <w:lvl w:ilvl="8" w:tplc="D186BDC6" w:tentative="1">
      <w:start w:val="1"/>
      <w:numFmt w:val="lowerRoman"/>
      <w:lvlText w:val="%9."/>
      <w:lvlJc w:val="right"/>
      <w:pPr>
        <w:ind w:left="6930" w:hanging="180"/>
      </w:pPr>
    </w:lvl>
  </w:abstractNum>
  <w:abstractNum w:abstractNumId="4" w15:restartNumberingAfterBreak="0">
    <w:nsid w:val="672C4226"/>
    <w:multiLevelType w:val="hybridMultilevel"/>
    <w:tmpl w:val="F2181ADC"/>
    <w:lvl w:ilvl="0" w:tplc="BD26DA5C">
      <w:start w:val="1"/>
      <w:numFmt w:val="upperLetter"/>
      <w:lvlText w:val="%1."/>
      <w:lvlJc w:val="left"/>
      <w:pPr>
        <w:ind w:left="1060" w:hanging="360"/>
      </w:pPr>
      <w:rPr>
        <w:rFonts w:ascii="Calibri" w:eastAsia="Calibri" w:hAnsi="Calibri" w:cs="Calibri" w:hint="default"/>
        <w:b/>
        <w:bCs/>
        <w:spacing w:val="-2"/>
        <w:w w:val="99"/>
        <w:sz w:val="26"/>
        <w:szCs w:val="26"/>
      </w:rPr>
    </w:lvl>
    <w:lvl w:ilvl="1" w:tplc="BEB4A8DC">
      <w:numFmt w:val="bullet"/>
      <w:lvlText w:val=""/>
      <w:lvlJc w:val="left"/>
      <w:pPr>
        <w:ind w:left="1420" w:hanging="360"/>
      </w:pPr>
      <w:rPr>
        <w:rFonts w:ascii="Symbol" w:eastAsia="Symbol" w:hAnsi="Symbol" w:cs="Symbol" w:hint="default"/>
        <w:w w:val="99"/>
        <w:sz w:val="26"/>
        <w:szCs w:val="26"/>
      </w:rPr>
    </w:lvl>
    <w:lvl w:ilvl="2" w:tplc="AD6CBD38">
      <w:numFmt w:val="bullet"/>
      <w:lvlText w:val="o"/>
      <w:lvlJc w:val="left"/>
      <w:pPr>
        <w:ind w:left="2140" w:hanging="360"/>
      </w:pPr>
      <w:rPr>
        <w:rFonts w:ascii="Courier New" w:eastAsia="Courier New" w:hAnsi="Courier New" w:cs="Courier New" w:hint="default"/>
        <w:w w:val="99"/>
        <w:sz w:val="26"/>
        <w:szCs w:val="26"/>
      </w:rPr>
    </w:lvl>
    <w:lvl w:ilvl="3" w:tplc="B64AD592">
      <w:numFmt w:val="bullet"/>
      <w:lvlText w:val="•"/>
      <w:lvlJc w:val="left"/>
      <w:pPr>
        <w:ind w:left="3177" w:hanging="360"/>
      </w:pPr>
      <w:rPr>
        <w:rFonts w:hint="default"/>
      </w:rPr>
    </w:lvl>
    <w:lvl w:ilvl="4" w:tplc="C1B4A8D8">
      <w:numFmt w:val="bullet"/>
      <w:lvlText w:val="•"/>
      <w:lvlJc w:val="left"/>
      <w:pPr>
        <w:ind w:left="4215" w:hanging="360"/>
      </w:pPr>
      <w:rPr>
        <w:rFonts w:hint="default"/>
      </w:rPr>
    </w:lvl>
    <w:lvl w:ilvl="5" w:tplc="F7C83BDE">
      <w:numFmt w:val="bullet"/>
      <w:lvlText w:val="•"/>
      <w:lvlJc w:val="left"/>
      <w:pPr>
        <w:ind w:left="5252" w:hanging="360"/>
      </w:pPr>
      <w:rPr>
        <w:rFonts w:hint="default"/>
      </w:rPr>
    </w:lvl>
    <w:lvl w:ilvl="6" w:tplc="2E7009BA">
      <w:numFmt w:val="bullet"/>
      <w:lvlText w:val="•"/>
      <w:lvlJc w:val="left"/>
      <w:pPr>
        <w:ind w:left="6290" w:hanging="360"/>
      </w:pPr>
      <w:rPr>
        <w:rFonts w:hint="default"/>
      </w:rPr>
    </w:lvl>
    <w:lvl w:ilvl="7" w:tplc="8120333E">
      <w:numFmt w:val="bullet"/>
      <w:lvlText w:val="•"/>
      <w:lvlJc w:val="left"/>
      <w:pPr>
        <w:ind w:left="7327" w:hanging="360"/>
      </w:pPr>
      <w:rPr>
        <w:rFonts w:hint="default"/>
      </w:rPr>
    </w:lvl>
    <w:lvl w:ilvl="8" w:tplc="49CEBB0E">
      <w:numFmt w:val="bullet"/>
      <w:lvlText w:val="•"/>
      <w:lvlJc w:val="left"/>
      <w:pPr>
        <w:ind w:left="8365" w:hanging="360"/>
      </w:pPr>
      <w:rPr>
        <w:rFonts w:hint="default"/>
      </w:rPr>
    </w:lvl>
  </w:abstractNum>
  <w:abstractNum w:abstractNumId="5" w15:restartNumberingAfterBreak="0">
    <w:nsid w:val="759C34C2"/>
    <w:multiLevelType w:val="hybridMultilevel"/>
    <w:tmpl w:val="7250EDEA"/>
    <w:lvl w:ilvl="0" w:tplc="E3364D16">
      <w:start w:val="1"/>
      <w:numFmt w:val="bullet"/>
      <w:lvlText w:val=""/>
      <w:lvlJc w:val="left"/>
      <w:pPr>
        <w:ind w:left="810" w:hanging="360"/>
      </w:pPr>
      <w:rPr>
        <w:rFonts w:ascii="Symbol" w:hAnsi="Symbol" w:hint="default"/>
      </w:rPr>
    </w:lvl>
    <w:lvl w:ilvl="1" w:tplc="A4C80044" w:tentative="1">
      <w:start w:val="1"/>
      <w:numFmt w:val="bullet"/>
      <w:lvlText w:val="o"/>
      <w:lvlJc w:val="left"/>
      <w:pPr>
        <w:ind w:left="1530" w:hanging="360"/>
      </w:pPr>
      <w:rPr>
        <w:rFonts w:ascii="Courier New" w:hAnsi="Courier New" w:cs="Courier New" w:hint="default"/>
      </w:rPr>
    </w:lvl>
    <w:lvl w:ilvl="2" w:tplc="A5903378" w:tentative="1">
      <w:start w:val="1"/>
      <w:numFmt w:val="bullet"/>
      <w:lvlText w:val=""/>
      <w:lvlJc w:val="left"/>
      <w:pPr>
        <w:ind w:left="2250" w:hanging="360"/>
      </w:pPr>
      <w:rPr>
        <w:rFonts w:ascii="Wingdings" w:hAnsi="Wingdings" w:hint="default"/>
      </w:rPr>
    </w:lvl>
    <w:lvl w:ilvl="3" w:tplc="CB3C79AE" w:tentative="1">
      <w:start w:val="1"/>
      <w:numFmt w:val="bullet"/>
      <w:lvlText w:val=""/>
      <w:lvlJc w:val="left"/>
      <w:pPr>
        <w:ind w:left="2970" w:hanging="360"/>
      </w:pPr>
      <w:rPr>
        <w:rFonts w:ascii="Symbol" w:hAnsi="Symbol" w:hint="default"/>
      </w:rPr>
    </w:lvl>
    <w:lvl w:ilvl="4" w:tplc="7B3895E4" w:tentative="1">
      <w:start w:val="1"/>
      <w:numFmt w:val="bullet"/>
      <w:lvlText w:val="o"/>
      <w:lvlJc w:val="left"/>
      <w:pPr>
        <w:ind w:left="3690" w:hanging="360"/>
      </w:pPr>
      <w:rPr>
        <w:rFonts w:ascii="Courier New" w:hAnsi="Courier New" w:cs="Courier New" w:hint="default"/>
      </w:rPr>
    </w:lvl>
    <w:lvl w:ilvl="5" w:tplc="BE0C43A0" w:tentative="1">
      <w:start w:val="1"/>
      <w:numFmt w:val="bullet"/>
      <w:lvlText w:val=""/>
      <w:lvlJc w:val="left"/>
      <w:pPr>
        <w:ind w:left="4410" w:hanging="360"/>
      </w:pPr>
      <w:rPr>
        <w:rFonts w:ascii="Wingdings" w:hAnsi="Wingdings" w:hint="default"/>
      </w:rPr>
    </w:lvl>
    <w:lvl w:ilvl="6" w:tplc="E6F4D128" w:tentative="1">
      <w:start w:val="1"/>
      <w:numFmt w:val="bullet"/>
      <w:lvlText w:val=""/>
      <w:lvlJc w:val="left"/>
      <w:pPr>
        <w:ind w:left="5130" w:hanging="360"/>
      </w:pPr>
      <w:rPr>
        <w:rFonts w:ascii="Symbol" w:hAnsi="Symbol" w:hint="default"/>
      </w:rPr>
    </w:lvl>
    <w:lvl w:ilvl="7" w:tplc="905CC43E" w:tentative="1">
      <w:start w:val="1"/>
      <w:numFmt w:val="bullet"/>
      <w:lvlText w:val="o"/>
      <w:lvlJc w:val="left"/>
      <w:pPr>
        <w:ind w:left="5850" w:hanging="360"/>
      </w:pPr>
      <w:rPr>
        <w:rFonts w:ascii="Courier New" w:hAnsi="Courier New" w:cs="Courier New" w:hint="default"/>
      </w:rPr>
    </w:lvl>
    <w:lvl w:ilvl="8" w:tplc="244A7C48" w:tentative="1">
      <w:start w:val="1"/>
      <w:numFmt w:val="bullet"/>
      <w:lvlText w:val=""/>
      <w:lvlJc w:val="left"/>
      <w:pPr>
        <w:ind w:left="6570" w:hanging="360"/>
      </w:pPr>
      <w:rPr>
        <w:rFonts w:ascii="Wingdings" w:hAnsi="Wingdings" w:hint="default"/>
      </w:rPr>
    </w:lvl>
  </w:abstractNum>
  <w:abstractNum w:abstractNumId="6" w15:restartNumberingAfterBreak="0">
    <w:nsid w:val="7B164FF5"/>
    <w:multiLevelType w:val="hybridMultilevel"/>
    <w:tmpl w:val="DCD092EA"/>
    <w:lvl w:ilvl="0" w:tplc="30DA82CC">
      <w:start w:val="1"/>
      <w:numFmt w:val="bullet"/>
      <w:lvlText w:val=""/>
      <w:lvlJc w:val="left"/>
      <w:pPr>
        <w:ind w:left="720" w:hanging="360"/>
      </w:pPr>
      <w:rPr>
        <w:rFonts w:ascii="Symbol" w:hAnsi="Symbol" w:hint="default"/>
      </w:rPr>
    </w:lvl>
    <w:lvl w:ilvl="1" w:tplc="4398A986">
      <w:start w:val="1"/>
      <w:numFmt w:val="bullet"/>
      <w:lvlText w:val="o"/>
      <w:lvlJc w:val="left"/>
      <w:pPr>
        <w:ind w:left="1440" w:hanging="360"/>
      </w:pPr>
      <w:rPr>
        <w:rFonts w:ascii="Courier New" w:hAnsi="Courier New" w:cs="Courier New" w:hint="default"/>
      </w:rPr>
    </w:lvl>
    <w:lvl w:ilvl="2" w:tplc="F05202D4" w:tentative="1">
      <w:start w:val="1"/>
      <w:numFmt w:val="bullet"/>
      <w:lvlText w:val=""/>
      <w:lvlJc w:val="left"/>
      <w:pPr>
        <w:ind w:left="2160" w:hanging="360"/>
      </w:pPr>
      <w:rPr>
        <w:rFonts w:ascii="Wingdings" w:hAnsi="Wingdings" w:hint="default"/>
      </w:rPr>
    </w:lvl>
    <w:lvl w:ilvl="3" w:tplc="B8F03DB8" w:tentative="1">
      <w:start w:val="1"/>
      <w:numFmt w:val="bullet"/>
      <w:lvlText w:val=""/>
      <w:lvlJc w:val="left"/>
      <w:pPr>
        <w:ind w:left="2880" w:hanging="360"/>
      </w:pPr>
      <w:rPr>
        <w:rFonts w:ascii="Symbol" w:hAnsi="Symbol" w:hint="default"/>
      </w:rPr>
    </w:lvl>
    <w:lvl w:ilvl="4" w:tplc="31C0EDE8" w:tentative="1">
      <w:start w:val="1"/>
      <w:numFmt w:val="bullet"/>
      <w:lvlText w:val="o"/>
      <w:lvlJc w:val="left"/>
      <w:pPr>
        <w:ind w:left="3600" w:hanging="360"/>
      </w:pPr>
      <w:rPr>
        <w:rFonts w:ascii="Courier New" w:hAnsi="Courier New" w:cs="Courier New" w:hint="default"/>
      </w:rPr>
    </w:lvl>
    <w:lvl w:ilvl="5" w:tplc="95D491B0" w:tentative="1">
      <w:start w:val="1"/>
      <w:numFmt w:val="bullet"/>
      <w:lvlText w:val=""/>
      <w:lvlJc w:val="left"/>
      <w:pPr>
        <w:ind w:left="4320" w:hanging="360"/>
      </w:pPr>
      <w:rPr>
        <w:rFonts w:ascii="Wingdings" w:hAnsi="Wingdings" w:hint="default"/>
      </w:rPr>
    </w:lvl>
    <w:lvl w:ilvl="6" w:tplc="8806AF0C" w:tentative="1">
      <w:start w:val="1"/>
      <w:numFmt w:val="bullet"/>
      <w:lvlText w:val=""/>
      <w:lvlJc w:val="left"/>
      <w:pPr>
        <w:ind w:left="5040" w:hanging="360"/>
      </w:pPr>
      <w:rPr>
        <w:rFonts w:ascii="Symbol" w:hAnsi="Symbol" w:hint="default"/>
      </w:rPr>
    </w:lvl>
    <w:lvl w:ilvl="7" w:tplc="CE02A4F4" w:tentative="1">
      <w:start w:val="1"/>
      <w:numFmt w:val="bullet"/>
      <w:lvlText w:val="o"/>
      <w:lvlJc w:val="left"/>
      <w:pPr>
        <w:ind w:left="5760" w:hanging="360"/>
      </w:pPr>
      <w:rPr>
        <w:rFonts w:ascii="Courier New" w:hAnsi="Courier New" w:cs="Courier New" w:hint="default"/>
      </w:rPr>
    </w:lvl>
    <w:lvl w:ilvl="8" w:tplc="CF709C5E"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2F"/>
    <w:rsid w:val="0001285D"/>
    <w:rsid w:val="0002220C"/>
    <w:rsid w:val="00034460"/>
    <w:rsid w:val="0007167C"/>
    <w:rsid w:val="000F5FC8"/>
    <w:rsid w:val="000F7CE2"/>
    <w:rsid w:val="00174370"/>
    <w:rsid w:val="001F0A02"/>
    <w:rsid w:val="001F2515"/>
    <w:rsid w:val="001F2682"/>
    <w:rsid w:val="00212A5C"/>
    <w:rsid w:val="00226DA2"/>
    <w:rsid w:val="0024782F"/>
    <w:rsid w:val="002942B1"/>
    <w:rsid w:val="002D7A0A"/>
    <w:rsid w:val="00310C54"/>
    <w:rsid w:val="0033449E"/>
    <w:rsid w:val="00334BBC"/>
    <w:rsid w:val="00345EA3"/>
    <w:rsid w:val="00372D5C"/>
    <w:rsid w:val="00380C14"/>
    <w:rsid w:val="00397924"/>
    <w:rsid w:val="003B4753"/>
    <w:rsid w:val="003C159E"/>
    <w:rsid w:val="003D0361"/>
    <w:rsid w:val="00404464"/>
    <w:rsid w:val="00421AD1"/>
    <w:rsid w:val="00425F1D"/>
    <w:rsid w:val="004329AB"/>
    <w:rsid w:val="004340C6"/>
    <w:rsid w:val="0044452F"/>
    <w:rsid w:val="004465BE"/>
    <w:rsid w:val="00472DA6"/>
    <w:rsid w:val="00474F05"/>
    <w:rsid w:val="004A6C15"/>
    <w:rsid w:val="004C1C5D"/>
    <w:rsid w:val="004C246C"/>
    <w:rsid w:val="004D43B9"/>
    <w:rsid w:val="005400D9"/>
    <w:rsid w:val="00575768"/>
    <w:rsid w:val="00577890"/>
    <w:rsid w:val="005E587E"/>
    <w:rsid w:val="00636BF1"/>
    <w:rsid w:val="00711F07"/>
    <w:rsid w:val="00731975"/>
    <w:rsid w:val="00745B7E"/>
    <w:rsid w:val="00752812"/>
    <w:rsid w:val="0078242F"/>
    <w:rsid w:val="007A1620"/>
    <w:rsid w:val="008004D9"/>
    <w:rsid w:val="00803751"/>
    <w:rsid w:val="008122E7"/>
    <w:rsid w:val="0084788B"/>
    <w:rsid w:val="00847D27"/>
    <w:rsid w:val="008A15DF"/>
    <w:rsid w:val="008B239D"/>
    <w:rsid w:val="008B37F7"/>
    <w:rsid w:val="008B77E0"/>
    <w:rsid w:val="008C5F38"/>
    <w:rsid w:val="008E51A3"/>
    <w:rsid w:val="0094376C"/>
    <w:rsid w:val="00960FD2"/>
    <w:rsid w:val="00972304"/>
    <w:rsid w:val="00997B22"/>
    <w:rsid w:val="00A424F2"/>
    <w:rsid w:val="00A50BF2"/>
    <w:rsid w:val="00A5204D"/>
    <w:rsid w:val="00A645A3"/>
    <w:rsid w:val="00A7336C"/>
    <w:rsid w:val="00A92965"/>
    <w:rsid w:val="00AA1470"/>
    <w:rsid w:val="00AA6C67"/>
    <w:rsid w:val="00AB390B"/>
    <w:rsid w:val="00AF330A"/>
    <w:rsid w:val="00AF5968"/>
    <w:rsid w:val="00B0610A"/>
    <w:rsid w:val="00B32CF3"/>
    <w:rsid w:val="00B70EBC"/>
    <w:rsid w:val="00B73682"/>
    <w:rsid w:val="00B855B2"/>
    <w:rsid w:val="00BD50C8"/>
    <w:rsid w:val="00C00F0D"/>
    <w:rsid w:val="00C1411D"/>
    <w:rsid w:val="00C246A4"/>
    <w:rsid w:val="00C37216"/>
    <w:rsid w:val="00C61236"/>
    <w:rsid w:val="00CA5092"/>
    <w:rsid w:val="00CD0358"/>
    <w:rsid w:val="00CF29F1"/>
    <w:rsid w:val="00CF445C"/>
    <w:rsid w:val="00D04E91"/>
    <w:rsid w:val="00D257AE"/>
    <w:rsid w:val="00D60186"/>
    <w:rsid w:val="00D73A66"/>
    <w:rsid w:val="00D91188"/>
    <w:rsid w:val="00DA5EAC"/>
    <w:rsid w:val="00DB685A"/>
    <w:rsid w:val="00DB75EA"/>
    <w:rsid w:val="00DD584E"/>
    <w:rsid w:val="00DF7F35"/>
    <w:rsid w:val="00E950D3"/>
    <w:rsid w:val="00EB721B"/>
    <w:rsid w:val="00ED0A92"/>
    <w:rsid w:val="00EF1D2E"/>
    <w:rsid w:val="00F219AD"/>
    <w:rsid w:val="00F428D3"/>
    <w:rsid w:val="00F47439"/>
    <w:rsid w:val="00F51005"/>
    <w:rsid w:val="00F84256"/>
    <w:rsid w:val="00F952ED"/>
    <w:rsid w:val="00F96F51"/>
    <w:rsid w:val="00FB6810"/>
    <w:rsid w:val="00FB7D6A"/>
    <w:rsid w:val="00FB7DCD"/>
    <w:rsid w:val="00FC27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4853"/>
  <w15:docId w15:val="{55BA1C8E-5A77-4A44-B9D2-E4C62CDD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0"/>
      <w:outlineLvl w:val="0"/>
    </w:pPr>
    <w:rPr>
      <w:b/>
      <w:bCs/>
      <w:sz w:val="32"/>
      <w:szCs w:val="32"/>
    </w:rPr>
  </w:style>
  <w:style w:type="paragraph" w:styleId="Heading2">
    <w:name w:val="heading 2"/>
    <w:basedOn w:val="Normal"/>
    <w:uiPriority w:val="9"/>
    <w:unhideWhenUsed/>
    <w:qFormat/>
    <w:pPr>
      <w:ind w:left="116" w:right="112"/>
      <w:jc w:val="center"/>
      <w:outlineLvl w:val="1"/>
    </w:pPr>
    <w:rPr>
      <w:sz w:val="28"/>
      <w:szCs w:val="28"/>
    </w:rPr>
  </w:style>
  <w:style w:type="paragraph" w:styleId="Heading3">
    <w:name w:val="heading 3"/>
    <w:basedOn w:val="Normal"/>
    <w:uiPriority w:val="9"/>
    <w:unhideWhenUsed/>
    <w:qFormat/>
    <w:pPr>
      <w:ind w:left="100" w:hanging="3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4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55B2"/>
    <w:rPr>
      <w:color w:val="0000FF"/>
      <w:u w:val="single"/>
    </w:rPr>
  </w:style>
  <w:style w:type="character" w:customStyle="1" w:styleId="UnresolvedMention1">
    <w:name w:val="Unresolved Mention1"/>
    <w:basedOn w:val="DefaultParagraphFont"/>
    <w:uiPriority w:val="99"/>
    <w:semiHidden/>
    <w:unhideWhenUsed/>
    <w:rsid w:val="00D91188"/>
    <w:rPr>
      <w:color w:val="605E5C"/>
      <w:shd w:val="clear" w:color="auto" w:fill="E1DFDD"/>
    </w:rPr>
  </w:style>
  <w:style w:type="character" w:styleId="CommentReference">
    <w:name w:val="annotation reference"/>
    <w:basedOn w:val="DefaultParagraphFont"/>
    <w:uiPriority w:val="99"/>
    <w:semiHidden/>
    <w:unhideWhenUsed/>
    <w:rsid w:val="00D91188"/>
    <w:rPr>
      <w:sz w:val="16"/>
      <w:szCs w:val="16"/>
    </w:rPr>
  </w:style>
  <w:style w:type="paragraph" w:styleId="CommentText">
    <w:name w:val="annotation text"/>
    <w:basedOn w:val="Normal"/>
    <w:link w:val="CommentTextChar"/>
    <w:uiPriority w:val="99"/>
    <w:semiHidden/>
    <w:unhideWhenUsed/>
    <w:rsid w:val="00D91188"/>
    <w:rPr>
      <w:sz w:val="20"/>
      <w:szCs w:val="20"/>
    </w:rPr>
  </w:style>
  <w:style w:type="character" w:customStyle="1" w:styleId="CommentTextChar">
    <w:name w:val="Comment Text Char"/>
    <w:basedOn w:val="DefaultParagraphFont"/>
    <w:link w:val="CommentText"/>
    <w:uiPriority w:val="99"/>
    <w:semiHidden/>
    <w:rsid w:val="00D911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1188"/>
    <w:rPr>
      <w:b/>
      <w:bCs/>
    </w:rPr>
  </w:style>
  <w:style w:type="character" w:customStyle="1" w:styleId="CommentSubjectChar">
    <w:name w:val="Comment Subject Char"/>
    <w:basedOn w:val="CommentTextChar"/>
    <w:link w:val="CommentSubject"/>
    <w:uiPriority w:val="99"/>
    <w:semiHidden/>
    <w:rsid w:val="00D9118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91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88"/>
    <w:rPr>
      <w:rFonts w:ascii="Segoe UI" w:eastAsia="Calibri" w:hAnsi="Segoe UI" w:cs="Segoe UI"/>
      <w:sz w:val="18"/>
      <w:szCs w:val="18"/>
    </w:rPr>
  </w:style>
  <w:style w:type="paragraph" w:customStyle="1" w:styleId="Default">
    <w:name w:val="Default"/>
    <w:rsid w:val="00421AD1"/>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A6C67"/>
    <w:rPr>
      <w:color w:val="800080" w:themeColor="followedHyperlink"/>
      <w:u w:val="single"/>
    </w:rPr>
  </w:style>
  <w:style w:type="character" w:customStyle="1" w:styleId="A1">
    <w:name w:val="A1"/>
    <w:uiPriority w:val="99"/>
    <w:rsid w:val="00C246A4"/>
    <w:rPr>
      <w:color w:val="000000"/>
    </w:rPr>
  </w:style>
  <w:style w:type="character" w:customStyle="1" w:styleId="UnresolvedMention2">
    <w:name w:val="Unresolved Mention2"/>
    <w:basedOn w:val="DefaultParagraphFont"/>
    <w:uiPriority w:val="99"/>
    <w:semiHidden/>
    <w:unhideWhenUsed/>
    <w:rsid w:val="00F47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icare.gov/medicare-coronavirus" TargetMode="External"/><Relationship Id="rId13" Type="http://schemas.openxmlformats.org/officeDocument/2006/relationships/hyperlink" Target="https://www.cdc.gov/coronavirus/2019-ncov/index.html?CDC_AA_refVal=https%3A%2F%2Fwww.cdc.gov%2Fcoronavirus%2Findex.html" TargetMode="External"/><Relationship Id="rId18" Type="http://schemas.openxmlformats.org/officeDocument/2006/relationships/hyperlink" Target="https://www.shiphelp.org/covid-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ms.gov/files/document/31820-cms-adult-elective-surgery-and-procedures-recommendations.pdf" TargetMode="External"/><Relationship Id="rId12" Type="http://schemas.openxmlformats.org/officeDocument/2006/relationships/hyperlink" Target="https://acl.gov/COVID-19" TargetMode="External"/><Relationship Id="rId17" Type="http://schemas.openxmlformats.org/officeDocument/2006/relationships/hyperlink" Target="https://www.medicare.gov/medicare-coronavirus" TargetMode="External"/><Relationship Id="rId2" Type="http://schemas.openxmlformats.org/officeDocument/2006/relationships/numbering" Target="numbering.xml"/><Relationship Id="rId16" Type="http://schemas.openxmlformats.org/officeDocument/2006/relationships/hyperlink" Target="https://oig.hhs.gov/coronavirus/index.asp?utm_source=web&amp;utm_medium=web&amp;utm_campaign=covid19-landing-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ronavirus.gov/" TargetMode="External"/><Relationship Id="rId5" Type="http://schemas.openxmlformats.org/officeDocument/2006/relationships/webSettings" Target="webSettings.xml"/><Relationship Id="rId15" Type="http://schemas.openxmlformats.org/officeDocument/2006/relationships/hyperlink" Target="https://www.smpresource.org/Content/Medicare-Fraud/Fraud-Schemes/COVID-19-Fraud.aspx" TargetMode="External"/><Relationship Id="rId10" Type="http://schemas.openxmlformats.org/officeDocument/2006/relationships/hyperlink" Target="http://www.smpresource.org" TargetMode="External"/><Relationship Id="rId19" Type="http://schemas.openxmlformats.org/officeDocument/2006/relationships/hyperlink" Target="https://www.ncoa.org/covid-19-resources-for-older-adults/" TargetMode="External"/><Relationship Id="rId4" Type="http://schemas.openxmlformats.org/officeDocument/2006/relationships/settings" Target="settings.xml"/><Relationship Id="rId9" Type="http://schemas.openxmlformats.org/officeDocument/2006/relationships/hyperlink" Target="http://www.shiptacenter.org" TargetMode="External"/><Relationship Id="rId14" Type="http://schemas.openxmlformats.org/officeDocument/2006/relationships/hyperlink" Target="https://www.usa.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16B1-61E1-4260-A1B5-EA293BB2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Liebau</dc:creator>
  <cp:lastModifiedBy>Jacob Anderson</cp:lastModifiedBy>
  <cp:revision>2</cp:revision>
  <dcterms:created xsi:type="dcterms:W3CDTF">2021-09-27T23:28:00Z</dcterms:created>
  <dcterms:modified xsi:type="dcterms:W3CDTF">2021-09-27T23:28:00Z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for Office 365</vt:lpwstr>
  </property>
  <property fmtid="{D5CDD505-2E9C-101B-9397-08002B2CF9AE}" pid="4" name="LastSaved">
    <vt:filetime>2020-04-08T00:00:00Z</vt:filetime>
  </property>
</Properties>
</file>